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A72D" w14:textId="3A195F18" w:rsidR="00F55F42" w:rsidRDefault="00F55F42" w:rsidP="00F55F42">
      <w:pPr>
        <w:pStyle w:val="Default"/>
        <w:rPr>
          <w:sz w:val="23"/>
          <w:szCs w:val="23"/>
        </w:rPr>
      </w:pPr>
      <w:r>
        <w:rPr>
          <w:sz w:val="23"/>
          <w:szCs w:val="23"/>
        </w:rPr>
        <w:t>Board of Commissioners</w:t>
      </w:r>
    </w:p>
    <w:p w14:paraId="19C03003" w14:textId="6EE465F9" w:rsidR="00F55F42" w:rsidRDefault="00F55F42" w:rsidP="00F55F42">
      <w:pPr>
        <w:pStyle w:val="Default"/>
        <w:rPr>
          <w:sz w:val="23"/>
          <w:szCs w:val="23"/>
        </w:rPr>
      </w:pPr>
      <w:r>
        <w:rPr>
          <w:sz w:val="23"/>
          <w:szCs w:val="23"/>
        </w:rPr>
        <w:t>PHA Name</w:t>
      </w:r>
    </w:p>
    <w:p w14:paraId="4B28E616" w14:textId="13FA65F6" w:rsidR="00F55F42" w:rsidRDefault="00F55F42" w:rsidP="00F55F42">
      <w:pPr>
        <w:pStyle w:val="Default"/>
        <w:rPr>
          <w:sz w:val="23"/>
          <w:szCs w:val="23"/>
        </w:rPr>
      </w:pPr>
      <w:r>
        <w:rPr>
          <w:sz w:val="23"/>
          <w:szCs w:val="23"/>
        </w:rPr>
        <w:t>PHA A</w:t>
      </w:r>
      <w:r w:rsidR="0076465F">
        <w:rPr>
          <w:sz w:val="23"/>
          <w:szCs w:val="23"/>
        </w:rPr>
        <w:t>d</w:t>
      </w:r>
      <w:r>
        <w:rPr>
          <w:sz w:val="23"/>
          <w:szCs w:val="23"/>
        </w:rPr>
        <w:t>dress</w:t>
      </w:r>
    </w:p>
    <w:p w14:paraId="52555722" w14:textId="77777777" w:rsidR="00F55F42" w:rsidRDefault="00F55F42" w:rsidP="00F55F42">
      <w:pPr>
        <w:pStyle w:val="Default"/>
        <w:rPr>
          <w:sz w:val="23"/>
          <w:szCs w:val="23"/>
        </w:rPr>
      </w:pPr>
    </w:p>
    <w:p w14:paraId="5E04E239" w14:textId="7CFEB43C" w:rsidR="00F55F42" w:rsidRDefault="00F55F42" w:rsidP="00F55F42">
      <w:pPr>
        <w:pStyle w:val="Default"/>
        <w:rPr>
          <w:sz w:val="23"/>
          <w:szCs w:val="23"/>
        </w:rPr>
      </w:pPr>
      <w:r>
        <w:rPr>
          <w:sz w:val="23"/>
          <w:szCs w:val="23"/>
        </w:rPr>
        <w:t xml:space="preserve"> </w:t>
      </w:r>
    </w:p>
    <w:p w14:paraId="7C678C68" w14:textId="47C3146F" w:rsidR="00F55F42" w:rsidRDefault="00F55F42" w:rsidP="00F55F42">
      <w:pPr>
        <w:pStyle w:val="Default"/>
        <w:rPr>
          <w:sz w:val="23"/>
          <w:szCs w:val="23"/>
        </w:rPr>
      </w:pPr>
      <w:r>
        <w:rPr>
          <w:sz w:val="23"/>
          <w:szCs w:val="23"/>
        </w:rPr>
        <w:t>We have performed the procedures enumerated below on whether the electronic submission of certain information agrees with the hard copy documents within the reporting package for the year ended</w:t>
      </w:r>
      <w:r w:rsidR="00DA3543">
        <w:rPr>
          <w:sz w:val="23"/>
          <w:szCs w:val="23"/>
        </w:rPr>
        <w:t xml:space="preserve"> </w:t>
      </w:r>
      <w:r w:rsidR="00DA3543" w:rsidRPr="00DA3543">
        <w:rPr>
          <w:sz w:val="23"/>
          <w:szCs w:val="23"/>
          <w:highlight w:val="yellow"/>
        </w:rPr>
        <w:t>DATE</w:t>
      </w:r>
      <w:r>
        <w:rPr>
          <w:sz w:val="23"/>
          <w:szCs w:val="23"/>
        </w:rPr>
        <w:t>.  The U.S. Department of Housing and Urban Development, Real Estate Assessment Center (REAC) is responsible for the Uniform Financial Reporting Standards (UFRS) procedures.</w:t>
      </w:r>
    </w:p>
    <w:p w14:paraId="7F710433" w14:textId="77777777" w:rsidR="00F55F42" w:rsidRDefault="00F55F42" w:rsidP="00F55F42">
      <w:pPr>
        <w:pStyle w:val="Default"/>
        <w:rPr>
          <w:sz w:val="23"/>
          <w:szCs w:val="23"/>
        </w:rPr>
      </w:pPr>
    </w:p>
    <w:p w14:paraId="2B825A9C" w14:textId="6191E4C5" w:rsidR="00F55F42" w:rsidRDefault="00F55F42" w:rsidP="00F55F42">
      <w:pPr>
        <w:pStyle w:val="Default"/>
        <w:rPr>
          <w:sz w:val="23"/>
          <w:szCs w:val="23"/>
        </w:rPr>
      </w:pPr>
      <w:r w:rsidRPr="00F55F42">
        <w:rPr>
          <w:sz w:val="23"/>
          <w:szCs w:val="23"/>
          <w:highlight w:val="yellow"/>
        </w:rPr>
        <w:t>PHA Name</w:t>
      </w:r>
      <w:r>
        <w:rPr>
          <w:sz w:val="23"/>
          <w:szCs w:val="23"/>
        </w:rPr>
        <w:t xml:space="preserve"> has agreed to and acknowledged that the procedures performed are appropriate to meet the intended purpose of complying with the REAC’s UFRS requirements for the submission of the PHA financial data for the year ended</w:t>
      </w:r>
      <w:r w:rsidR="00DA3543">
        <w:rPr>
          <w:sz w:val="23"/>
          <w:szCs w:val="23"/>
        </w:rPr>
        <w:t xml:space="preserve"> </w:t>
      </w:r>
      <w:r w:rsidR="00DA3543" w:rsidRPr="00DA3543">
        <w:rPr>
          <w:sz w:val="23"/>
          <w:szCs w:val="23"/>
          <w:highlight w:val="yellow"/>
        </w:rPr>
        <w:t>DATE</w:t>
      </w:r>
      <w:r>
        <w:rPr>
          <w:sz w:val="23"/>
          <w:szCs w:val="23"/>
        </w:rPr>
        <w:t xml:space="preserve">.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w:t>
      </w:r>
    </w:p>
    <w:p w14:paraId="1CA06A35" w14:textId="511726CE" w:rsidR="0076465F" w:rsidRDefault="0076465F" w:rsidP="00F55F42">
      <w:pPr>
        <w:pStyle w:val="Default"/>
        <w:rPr>
          <w:sz w:val="23"/>
          <w:szCs w:val="23"/>
        </w:rPr>
      </w:pPr>
    </w:p>
    <w:p w14:paraId="13656E97" w14:textId="77777777" w:rsidR="0076465F" w:rsidRDefault="0076465F" w:rsidP="0076465F">
      <w:pPr>
        <w:pStyle w:val="Default"/>
        <w:rPr>
          <w:sz w:val="23"/>
          <w:szCs w:val="23"/>
        </w:rPr>
      </w:pPr>
      <w:r>
        <w:rPr>
          <w:sz w:val="23"/>
          <w:szCs w:val="23"/>
        </w:rPr>
        <w:t xml:space="preserve">The procedures and the associated findings are as follows: </w:t>
      </w:r>
    </w:p>
    <w:p w14:paraId="75A5DAB3" w14:textId="76C40095" w:rsidR="007B6501" w:rsidRDefault="007B6501" w:rsidP="00F55F42">
      <w:pPr>
        <w:pStyle w:val="Default"/>
        <w:rPr>
          <w:sz w:val="23"/>
          <w:szCs w:val="23"/>
        </w:rPr>
      </w:pPr>
    </w:p>
    <w:tbl>
      <w:tblPr>
        <w:tblStyle w:val="TableGrid"/>
        <w:tblW w:w="0" w:type="auto"/>
        <w:tblLook w:val="04A0" w:firstRow="1" w:lastRow="0" w:firstColumn="1" w:lastColumn="0" w:noHBand="0" w:noVBand="1"/>
      </w:tblPr>
      <w:tblGrid>
        <w:gridCol w:w="1106"/>
        <w:gridCol w:w="3119"/>
        <w:gridCol w:w="3338"/>
        <w:gridCol w:w="897"/>
        <w:gridCol w:w="890"/>
      </w:tblGrid>
      <w:tr w:rsidR="000C3ED2" w14:paraId="600DB950" w14:textId="77777777" w:rsidTr="000C3ED2">
        <w:tc>
          <w:tcPr>
            <w:tcW w:w="1106" w:type="dxa"/>
          </w:tcPr>
          <w:p w14:paraId="5583579B" w14:textId="77777777" w:rsidR="007B6501" w:rsidRPr="007B6501" w:rsidRDefault="007B6501" w:rsidP="007B6501">
            <w:pPr>
              <w:pStyle w:val="Default"/>
              <w:jc w:val="center"/>
              <w:rPr>
                <w:b/>
                <w:bCs/>
                <w:sz w:val="20"/>
                <w:szCs w:val="20"/>
              </w:rPr>
            </w:pPr>
          </w:p>
          <w:p w14:paraId="1C01B070" w14:textId="5B2FD821" w:rsidR="007B6501" w:rsidRPr="007B6501" w:rsidRDefault="007B6501" w:rsidP="007B6501">
            <w:pPr>
              <w:pStyle w:val="Default"/>
              <w:jc w:val="center"/>
              <w:rPr>
                <w:b/>
                <w:bCs/>
                <w:sz w:val="20"/>
                <w:szCs w:val="20"/>
              </w:rPr>
            </w:pPr>
            <w:r w:rsidRPr="007B6501">
              <w:rPr>
                <w:b/>
                <w:bCs/>
                <w:sz w:val="20"/>
                <w:szCs w:val="20"/>
              </w:rPr>
              <w:t>Procedure</w:t>
            </w:r>
          </w:p>
        </w:tc>
        <w:tc>
          <w:tcPr>
            <w:tcW w:w="3119" w:type="dxa"/>
          </w:tcPr>
          <w:p w14:paraId="6467B916" w14:textId="77777777" w:rsidR="007B6501" w:rsidRDefault="007B6501" w:rsidP="007B6501">
            <w:pPr>
              <w:pStyle w:val="Default"/>
              <w:jc w:val="center"/>
              <w:rPr>
                <w:b/>
                <w:bCs/>
                <w:sz w:val="20"/>
                <w:szCs w:val="20"/>
              </w:rPr>
            </w:pPr>
          </w:p>
          <w:p w14:paraId="07DA88DD" w14:textId="4B24F8C0" w:rsidR="007B6501" w:rsidRPr="007B6501" w:rsidRDefault="007B6501" w:rsidP="007B6501">
            <w:pPr>
              <w:pStyle w:val="Default"/>
              <w:jc w:val="center"/>
              <w:rPr>
                <w:b/>
                <w:bCs/>
                <w:sz w:val="20"/>
                <w:szCs w:val="20"/>
              </w:rPr>
            </w:pPr>
            <w:r w:rsidRPr="007B6501">
              <w:rPr>
                <w:b/>
                <w:bCs/>
                <w:sz w:val="20"/>
                <w:szCs w:val="20"/>
              </w:rPr>
              <w:t>UFRS Rule Information</w:t>
            </w:r>
          </w:p>
        </w:tc>
        <w:tc>
          <w:tcPr>
            <w:tcW w:w="3338" w:type="dxa"/>
          </w:tcPr>
          <w:p w14:paraId="5AC18576" w14:textId="77777777" w:rsidR="007B6501" w:rsidRPr="007B6501" w:rsidRDefault="007B6501" w:rsidP="007B6501">
            <w:pPr>
              <w:pStyle w:val="Default"/>
              <w:jc w:val="center"/>
              <w:rPr>
                <w:b/>
                <w:bCs/>
                <w:sz w:val="20"/>
                <w:szCs w:val="20"/>
              </w:rPr>
            </w:pPr>
          </w:p>
          <w:p w14:paraId="65C14765" w14:textId="2AC4CB8C" w:rsidR="007B6501" w:rsidRPr="007B6501" w:rsidRDefault="007B6501" w:rsidP="007B6501">
            <w:pPr>
              <w:pStyle w:val="Default"/>
              <w:jc w:val="center"/>
              <w:rPr>
                <w:b/>
                <w:bCs/>
                <w:sz w:val="20"/>
                <w:szCs w:val="20"/>
              </w:rPr>
            </w:pPr>
            <w:r w:rsidRPr="007B6501">
              <w:rPr>
                <w:b/>
                <w:bCs/>
                <w:sz w:val="20"/>
                <w:szCs w:val="20"/>
              </w:rPr>
              <w:t>Hardcopy Documents</w:t>
            </w:r>
          </w:p>
        </w:tc>
        <w:tc>
          <w:tcPr>
            <w:tcW w:w="897" w:type="dxa"/>
          </w:tcPr>
          <w:p w14:paraId="5B271431" w14:textId="77777777" w:rsidR="007B6501" w:rsidRPr="007B6501" w:rsidRDefault="007B6501" w:rsidP="007B6501">
            <w:pPr>
              <w:pStyle w:val="Default"/>
              <w:jc w:val="center"/>
              <w:rPr>
                <w:b/>
                <w:bCs/>
                <w:sz w:val="20"/>
                <w:szCs w:val="20"/>
              </w:rPr>
            </w:pPr>
          </w:p>
          <w:p w14:paraId="42DCE7F9" w14:textId="4D29E445" w:rsidR="007B6501" w:rsidRPr="007B6501" w:rsidRDefault="007B6501" w:rsidP="007B6501">
            <w:pPr>
              <w:pStyle w:val="Default"/>
              <w:jc w:val="center"/>
              <w:rPr>
                <w:b/>
                <w:bCs/>
                <w:sz w:val="20"/>
                <w:szCs w:val="20"/>
              </w:rPr>
            </w:pPr>
            <w:r w:rsidRPr="007B6501">
              <w:rPr>
                <w:b/>
                <w:bCs/>
                <w:sz w:val="20"/>
                <w:szCs w:val="20"/>
              </w:rPr>
              <w:t>Agrees</w:t>
            </w:r>
          </w:p>
        </w:tc>
        <w:tc>
          <w:tcPr>
            <w:tcW w:w="890" w:type="dxa"/>
          </w:tcPr>
          <w:p w14:paraId="2FBC2615" w14:textId="24AF18B5" w:rsidR="007B6501" w:rsidRPr="007B6501" w:rsidRDefault="007B6501" w:rsidP="007B6501">
            <w:pPr>
              <w:pStyle w:val="Default"/>
              <w:jc w:val="center"/>
              <w:rPr>
                <w:b/>
                <w:bCs/>
                <w:sz w:val="20"/>
                <w:szCs w:val="20"/>
              </w:rPr>
            </w:pPr>
            <w:r w:rsidRPr="007B6501">
              <w:rPr>
                <w:b/>
                <w:bCs/>
                <w:sz w:val="20"/>
                <w:szCs w:val="20"/>
              </w:rPr>
              <w:t>Does Not Agree</w:t>
            </w:r>
          </w:p>
        </w:tc>
      </w:tr>
      <w:tr w:rsidR="000C3ED2" w14:paraId="4EA7C66B" w14:textId="77777777" w:rsidTr="00DA3543">
        <w:tc>
          <w:tcPr>
            <w:tcW w:w="1106" w:type="dxa"/>
            <w:vAlign w:val="center"/>
          </w:tcPr>
          <w:p w14:paraId="098B090F" w14:textId="6253D940" w:rsidR="000C3ED2" w:rsidRPr="000C3ED2" w:rsidRDefault="000C3ED2" w:rsidP="00DA3543">
            <w:pPr>
              <w:pStyle w:val="Default"/>
              <w:jc w:val="center"/>
              <w:rPr>
                <w:b/>
                <w:bCs/>
                <w:sz w:val="18"/>
                <w:szCs w:val="18"/>
              </w:rPr>
            </w:pPr>
            <w:r w:rsidRPr="000C3ED2">
              <w:rPr>
                <w:b/>
                <w:bCs/>
                <w:sz w:val="18"/>
                <w:szCs w:val="18"/>
              </w:rPr>
              <w:t>1</w:t>
            </w:r>
          </w:p>
        </w:tc>
        <w:tc>
          <w:tcPr>
            <w:tcW w:w="3119" w:type="dxa"/>
          </w:tcPr>
          <w:p w14:paraId="35E73381" w14:textId="01151B36" w:rsidR="007B6501" w:rsidRPr="000C3ED2" w:rsidRDefault="000C3ED2" w:rsidP="00F55F42">
            <w:pPr>
              <w:pStyle w:val="Default"/>
              <w:rPr>
                <w:sz w:val="18"/>
                <w:szCs w:val="18"/>
              </w:rPr>
            </w:pPr>
            <w:r w:rsidRPr="000C3ED2">
              <w:rPr>
                <w:sz w:val="18"/>
                <w:szCs w:val="18"/>
              </w:rPr>
              <w:t>Balance Sheet and Revenue and Expense (Data lines 111 to 13901)</w:t>
            </w:r>
          </w:p>
        </w:tc>
        <w:tc>
          <w:tcPr>
            <w:tcW w:w="3338" w:type="dxa"/>
          </w:tcPr>
          <w:p w14:paraId="01AFB867" w14:textId="22E04B4F" w:rsidR="007B6501" w:rsidRPr="000C3ED2" w:rsidRDefault="000C3ED2" w:rsidP="00F55F42">
            <w:pPr>
              <w:pStyle w:val="Default"/>
              <w:rPr>
                <w:sz w:val="18"/>
                <w:szCs w:val="18"/>
              </w:rPr>
            </w:pPr>
            <w:r w:rsidRPr="000C3ED2">
              <w:rPr>
                <w:sz w:val="18"/>
                <w:szCs w:val="18"/>
              </w:rPr>
              <w:t>Financial Data Schedule of all CFDAs, If Applicable</w:t>
            </w:r>
          </w:p>
        </w:tc>
        <w:tc>
          <w:tcPr>
            <w:tcW w:w="897" w:type="dxa"/>
            <w:vAlign w:val="center"/>
          </w:tcPr>
          <w:p w14:paraId="4D420768" w14:textId="790DD639" w:rsidR="007B6501" w:rsidRPr="000C3ED2" w:rsidRDefault="000C3ED2" w:rsidP="00DA3543">
            <w:pPr>
              <w:pStyle w:val="Default"/>
              <w:jc w:val="center"/>
              <w:rPr>
                <w:sz w:val="18"/>
                <w:szCs w:val="18"/>
              </w:rPr>
            </w:pPr>
            <w:r w:rsidRPr="000C3ED2">
              <w:rPr>
                <w:sz w:val="18"/>
                <w:szCs w:val="18"/>
              </w:rPr>
              <w:t>Yes</w:t>
            </w:r>
          </w:p>
        </w:tc>
        <w:tc>
          <w:tcPr>
            <w:tcW w:w="890" w:type="dxa"/>
            <w:vAlign w:val="center"/>
          </w:tcPr>
          <w:p w14:paraId="7922FF44" w14:textId="77777777" w:rsidR="007B6501" w:rsidRPr="000C3ED2" w:rsidRDefault="007B6501" w:rsidP="00DA3543">
            <w:pPr>
              <w:pStyle w:val="Default"/>
              <w:jc w:val="center"/>
              <w:rPr>
                <w:sz w:val="18"/>
                <w:szCs w:val="18"/>
              </w:rPr>
            </w:pPr>
          </w:p>
        </w:tc>
      </w:tr>
      <w:tr w:rsidR="000C3ED2" w14:paraId="6BBA6101" w14:textId="77777777" w:rsidTr="00DA3543">
        <w:tc>
          <w:tcPr>
            <w:tcW w:w="1106" w:type="dxa"/>
            <w:vAlign w:val="center"/>
          </w:tcPr>
          <w:p w14:paraId="1573D44F" w14:textId="45C25B12" w:rsidR="007B6501" w:rsidRPr="000C3ED2" w:rsidRDefault="000C3ED2" w:rsidP="00DA3543">
            <w:pPr>
              <w:pStyle w:val="Default"/>
              <w:jc w:val="center"/>
              <w:rPr>
                <w:b/>
                <w:bCs/>
                <w:sz w:val="18"/>
                <w:szCs w:val="18"/>
              </w:rPr>
            </w:pPr>
            <w:r w:rsidRPr="000C3ED2">
              <w:rPr>
                <w:b/>
                <w:bCs/>
                <w:sz w:val="18"/>
                <w:szCs w:val="18"/>
              </w:rPr>
              <w:t>2</w:t>
            </w:r>
          </w:p>
        </w:tc>
        <w:tc>
          <w:tcPr>
            <w:tcW w:w="3119" w:type="dxa"/>
          </w:tcPr>
          <w:p w14:paraId="17A4A196" w14:textId="339CDF44" w:rsidR="007B6501" w:rsidRPr="000C3ED2" w:rsidRDefault="000C3ED2" w:rsidP="00F55F42">
            <w:pPr>
              <w:pStyle w:val="Default"/>
              <w:rPr>
                <w:sz w:val="18"/>
                <w:szCs w:val="18"/>
              </w:rPr>
            </w:pPr>
            <w:r w:rsidRPr="000C3ED2">
              <w:rPr>
                <w:sz w:val="18"/>
                <w:szCs w:val="18"/>
              </w:rPr>
              <w:t>Footnotes (data element G5000-010)</w:t>
            </w:r>
          </w:p>
        </w:tc>
        <w:tc>
          <w:tcPr>
            <w:tcW w:w="3338" w:type="dxa"/>
          </w:tcPr>
          <w:p w14:paraId="21D7A487" w14:textId="747EDC41" w:rsidR="007B6501" w:rsidRPr="000C3ED2" w:rsidRDefault="000C3ED2" w:rsidP="00F55F42">
            <w:pPr>
              <w:pStyle w:val="Default"/>
              <w:rPr>
                <w:sz w:val="18"/>
                <w:szCs w:val="18"/>
              </w:rPr>
            </w:pPr>
            <w:r w:rsidRPr="000C3ED2">
              <w:rPr>
                <w:sz w:val="18"/>
                <w:szCs w:val="18"/>
              </w:rPr>
              <w:t>Footnotes to the audited basic financial statements</w:t>
            </w:r>
          </w:p>
        </w:tc>
        <w:tc>
          <w:tcPr>
            <w:tcW w:w="897" w:type="dxa"/>
            <w:vAlign w:val="center"/>
          </w:tcPr>
          <w:p w14:paraId="68CF88E3" w14:textId="43F3F0AC" w:rsidR="007B6501" w:rsidRPr="000C3ED2" w:rsidRDefault="000C3ED2" w:rsidP="00DA3543">
            <w:pPr>
              <w:pStyle w:val="Default"/>
              <w:jc w:val="center"/>
              <w:rPr>
                <w:sz w:val="18"/>
                <w:szCs w:val="18"/>
              </w:rPr>
            </w:pPr>
            <w:r w:rsidRPr="000C3ED2">
              <w:rPr>
                <w:sz w:val="18"/>
                <w:szCs w:val="18"/>
              </w:rPr>
              <w:t>Yes</w:t>
            </w:r>
          </w:p>
        </w:tc>
        <w:tc>
          <w:tcPr>
            <w:tcW w:w="890" w:type="dxa"/>
            <w:vAlign w:val="center"/>
          </w:tcPr>
          <w:p w14:paraId="7CC34EFE" w14:textId="77777777" w:rsidR="007B6501" w:rsidRPr="000C3ED2" w:rsidRDefault="007B6501" w:rsidP="00DA3543">
            <w:pPr>
              <w:pStyle w:val="Default"/>
              <w:jc w:val="center"/>
              <w:rPr>
                <w:sz w:val="18"/>
                <w:szCs w:val="18"/>
              </w:rPr>
            </w:pPr>
          </w:p>
        </w:tc>
      </w:tr>
      <w:tr w:rsidR="000C3ED2" w14:paraId="74BB8FD8" w14:textId="77777777" w:rsidTr="00DA3543">
        <w:tc>
          <w:tcPr>
            <w:tcW w:w="1106" w:type="dxa"/>
            <w:vAlign w:val="center"/>
          </w:tcPr>
          <w:p w14:paraId="68285195" w14:textId="4C2C8DD1" w:rsidR="007B6501" w:rsidRPr="000C3ED2" w:rsidRDefault="000C3ED2" w:rsidP="00DA3543">
            <w:pPr>
              <w:pStyle w:val="Default"/>
              <w:jc w:val="center"/>
              <w:rPr>
                <w:b/>
                <w:bCs/>
                <w:sz w:val="18"/>
                <w:szCs w:val="18"/>
              </w:rPr>
            </w:pPr>
            <w:r w:rsidRPr="000C3ED2">
              <w:rPr>
                <w:b/>
                <w:bCs/>
                <w:sz w:val="18"/>
                <w:szCs w:val="18"/>
              </w:rPr>
              <w:t>3</w:t>
            </w:r>
          </w:p>
        </w:tc>
        <w:tc>
          <w:tcPr>
            <w:tcW w:w="3119" w:type="dxa"/>
          </w:tcPr>
          <w:p w14:paraId="6DCEA275" w14:textId="08F5C8E7" w:rsidR="007B6501" w:rsidRPr="000C3ED2" w:rsidRDefault="000C3ED2" w:rsidP="00F55F42">
            <w:pPr>
              <w:pStyle w:val="Default"/>
              <w:rPr>
                <w:sz w:val="18"/>
                <w:szCs w:val="18"/>
              </w:rPr>
            </w:pPr>
            <w:r w:rsidRPr="000C3ED2">
              <w:rPr>
                <w:sz w:val="18"/>
                <w:szCs w:val="18"/>
              </w:rPr>
              <w:t>Type of Opinion on FDS (data element G3100-040)</w:t>
            </w:r>
          </w:p>
        </w:tc>
        <w:tc>
          <w:tcPr>
            <w:tcW w:w="3338" w:type="dxa"/>
          </w:tcPr>
          <w:p w14:paraId="2B3B60D6" w14:textId="2B490B69" w:rsidR="007B6501" w:rsidRPr="000C3ED2" w:rsidRDefault="000C3ED2" w:rsidP="00F55F42">
            <w:pPr>
              <w:pStyle w:val="Default"/>
              <w:rPr>
                <w:sz w:val="18"/>
                <w:szCs w:val="18"/>
              </w:rPr>
            </w:pPr>
            <w:r w:rsidRPr="000C3ED2">
              <w:rPr>
                <w:sz w:val="18"/>
                <w:szCs w:val="18"/>
              </w:rPr>
              <w:t>Auditors Report on Supplemental Data</w:t>
            </w:r>
          </w:p>
        </w:tc>
        <w:tc>
          <w:tcPr>
            <w:tcW w:w="897" w:type="dxa"/>
            <w:vAlign w:val="center"/>
          </w:tcPr>
          <w:p w14:paraId="1FFEAED0" w14:textId="381B8816" w:rsidR="007B6501" w:rsidRPr="000C3ED2" w:rsidRDefault="000C3ED2" w:rsidP="00DA3543">
            <w:pPr>
              <w:pStyle w:val="Default"/>
              <w:jc w:val="center"/>
              <w:rPr>
                <w:sz w:val="18"/>
                <w:szCs w:val="18"/>
              </w:rPr>
            </w:pPr>
            <w:r>
              <w:rPr>
                <w:sz w:val="18"/>
                <w:szCs w:val="18"/>
              </w:rPr>
              <w:t>Yes</w:t>
            </w:r>
          </w:p>
        </w:tc>
        <w:tc>
          <w:tcPr>
            <w:tcW w:w="890" w:type="dxa"/>
            <w:vAlign w:val="center"/>
          </w:tcPr>
          <w:p w14:paraId="08851677" w14:textId="77777777" w:rsidR="007B6501" w:rsidRPr="000C3ED2" w:rsidRDefault="007B6501" w:rsidP="00DA3543">
            <w:pPr>
              <w:pStyle w:val="Default"/>
              <w:jc w:val="center"/>
              <w:rPr>
                <w:sz w:val="18"/>
                <w:szCs w:val="18"/>
              </w:rPr>
            </w:pPr>
          </w:p>
        </w:tc>
      </w:tr>
      <w:tr w:rsidR="000C3ED2" w14:paraId="4F82D2C4" w14:textId="77777777" w:rsidTr="00DA3543">
        <w:tc>
          <w:tcPr>
            <w:tcW w:w="1106" w:type="dxa"/>
            <w:vAlign w:val="center"/>
          </w:tcPr>
          <w:p w14:paraId="5A8A4FA6" w14:textId="64496151" w:rsidR="007B6501" w:rsidRPr="000C3ED2" w:rsidRDefault="000C3ED2" w:rsidP="00DA3543">
            <w:pPr>
              <w:pStyle w:val="Default"/>
              <w:jc w:val="center"/>
              <w:rPr>
                <w:b/>
                <w:bCs/>
                <w:sz w:val="18"/>
                <w:szCs w:val="18"/>
              </w:rPr>
            </w:pPr>
            <w:r w:rsidRPr="000C3ED2">
              <w:rPr>
                <w:b/>
                <w:bCs/>
                <w:sz w:val="18"/>
                <w:szCs w:val="18"/>
              </w:rPr>
              <w:t>4</w:t>
            </w:r>
          </w:p>
        </w:tc>
        <w:tc>
          <w:tcPr>
            <w:tcW w:w="3119" w:type="dxa"/>
          </w:tcPr>
          <w:p w14:paraId="071E68A7" w14:textId="7CA2D069" w:rsidR="007B6501" w:rsidRPr="000C3ED2" w:rsidRDefault="000C3ED2" w:rsidP="00F55F42">
            <w:pPr>
              <w:pStyle w:val="Default"/>
              <w:rPr>
                <w:sz w:val="18"/>
                <w:szCs w:val="18"/>
              </w:rPr>
            </w:pPr>
            <w:r w:rsidRPr="000C3ED2">
              <w:rPr>
                <w:sz w:val="18"/>
                <w:szCs w:val="18"/>
              </w:rPr>
              <w:t>Audit findings narrative (date element G5200-010)</w:t>
            </w:r>
          </w:p>
        </w:tc>
        <w:tc>
          <w:tcPr>
            <w:tcW w:w="3338" w:type="dxa"/>
          </w:tcPr>
          <w:p w14:paraId="34A17DE0" w14:textId="0BBA91E1" w:rsidR="007B6501" w:rsidRPr="000C3ED2" w:rsidRDefault="000C3ED2" w:rsidP="00F55F42">
            <w:pPr>
              <w:pStyle w:val="Default"/>
              <w:rPr>
                <w:sz w:val="18"/>
                <w:szCs w:val="18"/>
              </w:rPr>
            </w:pPr>
            <w:r>
              <w:rPr>
                <w:sz w:val="18"/>
                <w:szCs w:val="18"/>
              </w:rPr>
              <w:t>Schedule of Findings and Questioned Costs</w:t>
            </w:r>
          </w:p>
        </w:tc>
        <w:tc>
          <w:tcPr>
            <w:tcW w:w="897" w:type="dxa"/>
            <w:vAlign w:val="center"/>
          </w:tcPr>
          <w:p w14:paraId="3266BE7C" w14:textId="46E72B01" w:rsidR="007B6501" w:rsidRPr="000C3ED2" w:rsidRDefault="000C3ED2" w:rsidP="00DA3543">
            <w:pPr>
              <w:pStyle w:val="Default"/>
              <w:jc w:val="center"/>
              <w:rPr>
                <w:sz w:val="18"/>
                <w:szCs w:val="18"/>
              </w:rPr>
            </w:pPr>
            <w:r>
              <w:rPr>
                <w:sz w:val="18"/>
                <w:szCs w:val="18"/>
              </w:rPr>
              <w:t>Yes</w:t>
            </w:r>
          </w:p>
        </w:tc>
        <w:tc>
          <w:tcPr>
            <w:tcW w:w="890" w:type="dxa"/>
            <w:vAlign w:val="center"/>
          </w:tcPr>
          <w:p w14:paraId="2AA67929" w14:textId="77777777" w:rsidR="007B6501" w:rsidRPr="000C3ED2" w:rsidRDefault="007B6501" w:rsidP="00DA3543">
            <w:pPr>
              <w:pStyle w:val="Default"/>
              <w:jc w:val="center"/>
              <w:rPr>
                <w:sz w:val="18"/>
                <w:szCs w:val="18"/>
              </w:rPr>
            </w:pPr>
          </w:p>
        </w:tc>
      </w:tr>
      <w:tr w:rsidR="000C3ED2" w14:paraId="3AA751A5" w14:textId="77777777" w:rsidTr="00DA3543">
        <w:tc>
          <w:tcPr>
            <w:tcW w:w="1106" w:type="dxa"/>
            <w:vAlign w:val="center"/>
          </w:tcPr>
          <w:p w14:paraId="68DC7DDF" w14:textId="6E274AD2" w:rsidR="007B6501" w:rsidRPr="000C3ED2" w:rsidRDefault="000C3ED2" w:rsidP="00DA3543">
            <w:pPr>
              <w:pStyle w:val="Default"/>
              <w:jc w:val="center"/>
              <w:rPr>
                <w:b/>
                <w:bCs/>
                <w:sz w:val="18"/>
                <w:szCs w:val="18"/>
              </w:rPr>
            </w:pPr>
            <w:r w:rsidRPr="000C3ED2">
              <w:rPr>
                <w:b/>
                <w:bCs/>
                <w:sz w:val="18"/>
                <w:szCs w:val="18"/>
              </w:rPr>
              <w:t>5</w:t>
            </w:r>
          </w:p>
        </w:tc>
        <w:tc>
          <w:tcPr>
            <w:tcW w:w="3119" w:type="dxa"/>
          </w:tcPr>
          <w:p w14:paraId="6DD5B797" w14:textId="545EAD7D" w:rsidR="007B6501" w:rsidRPr="000C3ED2" w:rsidRDefault="000C3ED2" w:rsidP="00F55F42">
            <w:pPr>
              <w:pStyle w:val="Default"/>
              <w:rPr>
                <w:sz w:val="18"/>
                <w:szCs w:val="18"/>
              </w:rPr>
            </w:pPr>
            <w:r>
              <w:rPr>
                <w:sz w:val="18"/>
                <w:szCs w:val="18"/>
              </w:rPr>
              <w:t>General Information (data element series G2000, G2100, G2200, G9000, G9100</w:t>
            </w:r>
          </w:p>
        </w:tc>
        <w:tc>
          <w:tcPr>
            <w:tcW w:w="3338" w:type="dxa"/>
          </w:tcPr>
          <w:p w14:paraId="3AF1050E" w14:textId="5B814A19" w:rsidR="007B6501" w:rsidRPr="000C3ED2" w:rsidRDefault="000C3ED2" w:rsidP="00F55F42">
            <w:pPr>
              <w:pStyle w:val="Default"/>
              <w:rPr>
                <w:sz w:val="18"/>
                <w:szCs w:val="18"/>
              </w:rPr>
            </w:pPr>
            <w:r>
              <w:rPr>
                <w:sz w:val="18"/>
                <w:szCs w:val="18"/>
              </w:rPr>
              <w:t>OMB Data Collection Form</w:t>
            </w:r>
          </w:p>
        </w:tc>
        <w:tc>
          <w:tcPr>
            <w:tcW w:w="897" w:type="dxa"/>
            <w:vAlign w:val="center"/>
          </w:tcPr>
          <w:p w14:paraId="4B5BC4D3" w14:textId="435DEBAF" w:rsidR="007B6501" w:rsidRPr="000C3ED2" w:rsidRDefault="000C3ED2" w:rsidP="00DA3543">
            <w:pPr>
              <w:pStyle w:val="Default"/>
              <w:jc w:val="center"/>
              <w:rPr>
                <w:sz w:val="18"/>
                <w:szCs w:val="18"/>
              </w:rPr>
            </w:pPr>
            <w:r>
              <w:rPr>
                <w:sz w:val="18"/>
                <w:szCs w:val="18"/>
              </w:rPr>
              <w:t>Yes</w:t>
            </w:r>
          </w:p>
        </w:tc>
        <w:tc>
          <w:tcPr>
            <w:tcW w:w="890" w:type="dxa"/>
            <w:vAlign w:val="center"/>
          </w:tcPr>
          <w:p w14:paraId="1A9AAB38" w14:textId="77777777" w:rsidR="007B6501" w:rsidRPr="000C3ED2" w:rsidRDefault="007B6501" w:rsidP="00DA3543">
            <w:pPr>
              <w:pStyle w:val="Default"/>
              <w:jc w:val="center"/>
              <w:rPr>
                <w:sz w:val="18"/>
                <w:szCs w:val="18"/>
              </w:rPr>
            </w:pPr>
          </w:p>
        </w:tc>
      </w:tr>
      <w:tr w:rsidR="000C3ED2" w14:paraId="6A3601BE" w14:textId="77777777" w:rsidTr="00DA3543">
        <w:tc>
          <w:tcPr>
            <w:tcW w:w="1106" w:type="dxa"/>
            <w:vAlign w:val="center"/>
          </w:tcPr>
          <w:p w14:paraId="488F3BF1" w14:textId="34EDD27B" w:rsidR="000C3ED2" w:rsidRPr="000C3ED2" w:rsidRDefault="000C3ED2" w:rsidP="00DA3543">
            <w:pPr>
              <w:pStyle w:val="Default"/>
              <w:jc w:val="center"/>
              <w:rPr>
                <w:b/>
                <w:bCs/>
                <w:sz w:val="18"/>
                <w:szCs w:val="18"/>
              </w:rPr>
            </w:pPr>
            <w:r w:rsidRPr="000C3ED2">
              <w:rPr>
                <w:b/>
                <w:bCs/>
                <w:sz w:val="18"/>
                <w:szCs w:val="18"/>
              </w:rPr>
              <w:t>6</w:t>
            </w:r>
          </w:p>
        </w:tc>
        <w:tc>
          <w:tcPr>
            <w:tcW w:w="3119" w:type="dxa"/>
          </w:tcPr>
          <w:p w14:paraId="39FB5648" w14:textId="2F207082" w:rsidR="000C3ED2" w:rsidRPr="000C3ED2" w:rsidRDefault="000C3ED2" w:rsidP="00F55F42">
            <w:pPr>
              <w:pStyle w:val="Default"/>
              <w:rPr>
                <w:sz w:val="18"/>
                <w:szCs w:val="18"/>
              </w:rPr>
            </w:pPr>
            <w:r>
              <w:rPr>
                <w:sz w:val="18"/>
                <w:szCs w:val="18"/>
              </w:rPr>
              <w:t>Financial Statement report information (data element G3000-010 to G3000-050)</w:t>
            </w:r>
          </w:p>
        </w:tc>
        <w:tc>
          <w:tcPr>
            <w:tcW w:w="3338" w:type="dxa"/>
          </w:tcPr>
          <w:p w14:paraId="7A29D7CD" w14:textId="76DDB034" w:rsidR="000C3ED2" w:rsidRPr="000C3ED2" w:rsidRDefault="000C3ED2" w:rsidP="00F55F42">
            <w:pPr>
              <w:pStyle w:val="Default"/>
              <w:rPr>
                <w:sz w:val="18"/>
                <w:szCs w:val="18"/>
              </w:rPr>
            </w:pPr>
            <w:r>
              <w:rPr>
                <w:sz w:val="18"/>
                <w:szCs w:val="18"/>
              </w:rPr>
              <w:t>Schedule of Findings and Questioned Costs, Part 1 and OMB Data Collection Form</w:t>
            </w:r>
          </w:p>
        </w:tc>
        <w:tc>
          <w:tcPr>
            <w:tcW w:w="897" w:type="dxa"/>
            <w:vAlign w:val="center"/>
          </w:tcPr>
          <w:p w14:paraId="3248D6E6" w14:textId="23826542" w:rsidR="000C3ED2" w:rsidRPr="000C3ED2" w:rsidRDefault="000C3ED2" w:rsidP="00DA3543">
            <w:pPr>
              <w:pStyle w:val="Default"/>
              <w:jc w:val="center"/>
              <w:rPr>
                <w:sz w:val="18"/>
                <w:szCs w:val="18"/>
              </w:rPr>
            </w:pPr>
            <w:r>
              <w:rPr>
                <w:sz w:val="18"/>
                <w:szCs w:val="18"/>
              </w:rPr>
              <w:t>Yes</w:t>
            </w:r>
          </w:p>
        </w:tc>
        <w:tc>
          <w:tcPr>
            <w:tcW w:w="890" w:type="dxa"/>
            <w:vAlign w:val="center"/>
          </w:tcPr>
          <w:p w14:paraId="2F69001C" w14:textId="77777777" w:rsidR="000C3ED2" w:rsidRPr="000C3ED2" w:rsidRDefault="000C3ED2" w:rsidP="00DA3543">
            <w:pPr>
              <w:pStyle w:val="Default"/>
              <w:jc w:val="center"/>
              <w:rPr>
                <w:sz w:val="18"/>
                <w:szCs w:val="18"/>
              </w:rPr>
            </w:pPr>
          </w:p>
        </w:tc>
      </w:tr>
      <w:tr w:rsidR="000C3ED2" w14:paraId="70970CA5" w14:textId="77777777" w:rsidTr="00DA3543">
        <w:tc>
          <w:tcPr>
            <w:tcW w:w="1106" w:type="dxa"/>
            <w:vAlign w:val="center"/>
          </w:tcPr>
          <w:p w14:paraId="17312D93" w14:textId="22B08736" w:rsidR="000C3ED2" w:rsidRPr="000C3ED2" w:rsidRDefault="000C3ED2" w:rsidP="00DA3543">
            <w:pPr>
              <w:pStyle w:val="Default"/>
              <w:jc w:val="center"/>
              <w:rPr>
                <w:b/>
                <w:bCs/>
                <w:sz w:val="18"/>
                <w:szCs w:val="18"/>
              </w:rPr>
            </w:pPr>
            <w:r w:rsidRPr="000C3ED2">
              <w:rPr>
                <w:b/>
                <w:bCs/>
                <w:sz w:val="18"/>
                <w:szCs w:val="18"/>
              </w:rPr>
              <w:t>7</w:t>
            </w:r>
          </w:p>
        </w:tc>
        <w:tc>
          <w:tcPr>
            <w:tcW w:w="3119" w:type="dxa"/>
          </w:tcPr>
          <w:p w14:paraId="54AE1A05" w14:textId="6AEC7DDA" w:rsidR="000C3ED2" w:rsidRPr="000C3ED2" w:rsidRDefault="000C3ED2" w:rsidP="00F55F42">
            <w:pPr>
              <w:pStyle w:val="Default"/>
              <w:rPr>
                <w:sz w:val="18"/>
                <w:szCs w:val="18"/>
              </w:rPr>
            </w:pPr>
            <w:r>
              <w:rPr>
                <w:sz w:val="18"/>
                <w:szCs w:val="18"/>
              </w:rPr>
              <w:t>Federal program report information (data element G4000-020 to G4000-040</w:t>
            </w:r>
          </w:p>
        </w:tc>
        <w:tc>
          <w:tcPr>
            <w:tcW w:w="3338" w:type="dxa"/>
          </w:tcPr>
          <w:p w14:paraId="362925CE" w14:textId="5F53C52D" w:rsidR="000C3ED2" w:rsidRPr="000C3ED2" w:rsidRDefault="0076465F" w:rsidP="00F55F42">
            <w:pPr>
              <w:pStyle w:val="Default"/>
              <w:rPr>
                <w:sz w:val="18"/>
                <w:szCs w:val="18"/>
              </w:rPr>
            </w:pPr>
            <w:r>
              <w:rPr>
                <w:sz w:val="18"/>
                <w:szCs w:val="18"/>
              </w:rPr>
              <w:t>Schedule of Findings and Questioned Costs, Part 1 and OMB Data Collection Form</w:t>
            </w:r>
          </w:p>
        </w:tc>
        <w:tc>
          <w:tcPr>
            <w:tcW w:w="897" w:type="dxa"/>
            <w:vAlign w:val="center"/>
          </w:tcPr>
          <w:p w14:paraId="639C3091" w14:textId="3FB65C41" w:rsidR="000C3ED2" w:rsidRPr="000C3ED2" w:rsidRDefault="0076465F" w:rsidP="00DA3543">
            <w:pPr>
              <w:pStyle w:val="Default"/>
              <w:jc w:val="center"/>
              <w:rPr>
                <w:sz w:val="18"/>
                <w:szCs w:val="18"/>
              </w:rPr>
            </w:pPr>
            <w:r>
              <w:rPr>
                <w:sz w:val="18"/>
                <w:szCs w:val="18"/>
              </w:rPr>
              <w:t>Yes</w:t>
            </w:r>
          </w:p>
        </w:tc>
        <w:tc>
          <w:tcPr>
            <w:tcW w:w="890" w:type="dxa"/>
            <w:vAlign w:val="center"/>
          </w:tcPr>
          <w:p w14:paraId="7A00179E" w14:textId="77777777" w:rsidR="000C3ED2" w:rsidRPr="000C3ED2" w:rsidRDefault="000C3ED2" w:rsidP="00DA3543">
            <w:pPr>
              <w:pStyle w:val="Default"/>
              <w:jc w:val="center"/>
              <w:rPr>
                <w:sz w:val="18"/>
                <w:szCs w:val="18"/>
              </w:rPr>
            </w:pPr>
          </w:p>
        </w:tc>
      </w:tr>
      <w:tr w:rsidR="000C3ED2" w14:paraId="34D0BA0D" w14:textId="77777777" w:rsidTr="00DA3543">
        <w:tc>
          <w:tcPr>
            <w:tcW w:w="1106" w:type="dxa"/>
            <w:vAlign w:val="center"/>
          </w:tcPr>
          <w:p w14:paraId="3FF3F9AA" w14:textId="22648D03" w:rsidR="000C3ED2" w:rsidRPr="000C3ED2" w:rsidRDefault="000C3ED2" w:rsidP="00DA3543">
            <w:pPr>
              <w:pStyle w:val="Default"/>
              <w:jc w:val="center"/>
              <w:rPr>
                <w:b/>
                <w:bCs/>
                <w:sz w:val="18"/>
                <w:szCs w:val="18"/>
              </w:rPr>
            </w:pPr>
            <w:r w:rsidRPr="000C3ED2">
              <w:rPr>
                <w:b/>
                <w:bCs/>
                <w:sz w:val="18"/>
                <w:szCs w:val="18"/>
              </w:rPr>
              <w:t>8</w:t>
            </w:r>
          </w:p>
        </w:tc>
        <w:tc>
          <w:tcPr>
            <w:tcW w:w="3119" w:type="dxa"/>
          </w:tcPr>
          <w:p w14:paraId="0DBDB69E" w14:textId="78267012" w:rsidR="007B6501" w:rsidRPr="000C3ED2" w:rsidRDefault="0076465F" w:rsidP="00F55F42">
            <w:pPr>
              <w:pStyle w:val="Default"/>
              <w:rPr>
                <w:sz w:val="18"/>
                <w:szCs w:val="18"/>
              </w:rPr>
            </w:pPr>
            <w:r>
              <w:rPr>
                <w:sz w:val="18"/>
                <w:szCs w:val="18"/>
              </w:rPr>
              <w:t>Type of Compliance Requirement (G4200-020 &amp; G4000-030)</w:t>
            </w:r>
          </w:p>
        </w:tc>
        <w:tc>
          <w:tcPr>
            <w:tcW w:w="3338" w:type="dxa"/>
          </w:tcPr>
          <w:p w14:paraId="4213864B" w14:textId="10F2B2FD" w:rsidR="007B6501" w:rsidRPr="000C3ED2" w:rsidRDefault="0076465F" w:rsidP="00F55F42">
            <w:pPr>
              <w:pStyle w:val="Default"/>
              <w:rPr>
                <w:sz w:val="18"/>
                <w:szCs w:val="18"/>
              </w:rPr>
            </w:pPr>
            <w:r>
              <w:rPr>
                <w:sz w:val="18"/>
                <w:szCs w:val="18"/>
              </w:rPr>
              <w:t>OMB Data Collection Form</w:t>
            </w:r>
          </w:p>
        </w:tc>
        <w:tc>
          <w:tcPr>
            <w:tcW w:w="897" w:type="dxa"/>
            <w:vAlign w:val="center"/>
          </w:tcPr>
          <w:p w14:paraId="0213BC3F" w14:textId="2F97A045" w:rsidR="007B6501" w:rsidRPr="000C3ED2" w:rsidRDefault="0076465F" w:rsidP="00DA3543">
            <w:pPr>
              <w:pStyle w:val="Default"/>
              <w:jc w:val="center"/>
              <w:rPr>
                <w:sz w:val="18"/>
                <w:szCs w:val="18"/>
              </w:rPr>
            </w:pPr>
            <w:r>
              <w:rPr>
                <w:sz w:val="18"/>
                <w:szCs w:val="18"/>
              </w:rPr>
              <w:t>Yes</w:t>
            </w:r>
          </w:p>
        </w:tc>
        <w:tc>
          <w:tcPr>
            <w:tcW w:w="890" w:type="dxa"/>
            <w:vAlign w:val="center"/>
          </w:tcPr>
          <w:p w14:paraId="4A297DED" w14:textId="77777777" w:rsidR="007B6501" w:rsidRPr="000C3ED2" w:rsidRDefault="007B6501" w:rsidP="00DA3543">
            <w:pPr>
              <w:pStyle w:val="Default"/>
              <w:jc w:val="center"/>
              <w:rPr>
                <w:sz w:val="18"/>
                <w:szCs w:val="18"/>
              </w:rPr>
            </w:pPr>
          </w:p>
        </w:tc>
      </w:tr>
      <w:tr w:rsidR="000C3ED2" w14:paraId="1F810149" w14:textId="77777777" w:rsidTr="00DA3543">
        <w:tc>
          <w:tcPr>
            <w:tcW w:w="1106" w:type="dxa"/>
            <w:vAlign w:val="center"/>
          </w:tcPr>
          <w:p w14:paraId="467E641B" w14:textId="54F1D451" w:rsidR="007B6501" w:rsidRPr="000C3ED2" w:rsidRDefault="000C3ED2" w:rsidP="00DA3543">
            <w:pPr>
              <w:pStyle w:val="Default"/>
              <w:jc w:val="center"/>
              <w:rPr>
                <w:b/>
                <w:bCs/>
                <w:sz w:val="18"/>
                <w:szCs w:val="18"/>
              </w:rPr>
            </w:pPr>
            <w:r w:rsidRPr="000C3ED2">
              <w:rPr>
                <w:b/>
                <w:bCs/>
                <w:sz w:val="18"/>
                <w:szCs w:val="18"/>
              </w:rPr>
              <w:t>9</w:t>
            </w:r>
          </w:p>
        </w:tc>
        <w:tc>
          <w:tcPr>
            <w:tcW w:w="3119" w:type="dxa"/>
          </w:tcPr>
          <w:p w14:paraId="79D34269" w14:textId="0162D79E" w:rsidR="007B6501" w:rsidRPr="000C3ED2" w:rsidRDefault="0076465F" w:rsidP="00F55F42">
            <w:pPr>
              <w:pStyle w:val="Default"/>
              <w:rPr>
                <w:sz w:val="18"/>
                <w:szCs w:val="18"/>
              </w:rPr>
            </w:pPr>
            <w:r>
              <w:rPr>
                <w:sz w:val="18"/>
                <w:szCs w:val="18"/>
              </w:rPr>
              <w:t>Basic financial statements and auditor reports required to be submitted electronically</w:t>
            </w:r>
          </w:p>
        </w:tc>
        <w:tc>
          <w:tcPr>
            <w:tcW w:w="3338" w:type="dxa"/>
          </w:tcPr>
          <w:p w14:paraId="38A7B7D9" w14:textId="3D7B295A" w:rsidR="007B6501" w:rsidRPr="000C3ED2" w:rsidRDefault="0076465F" w:rsidP="00F55F42">
            <w:pPr>
              <w:pStyle w:val="Default"/>
              <w:rPr>
                <w:sz w:val="18"/>
                <w:szCs w:val="18"/>
              </w:rPr>
            </w:pPr>
            <w:r>
              <w:rPr>
                <w:sz w:val="18"/>
                <w:szCs w:val="18"/>
              </w:rPr>
              <w:t>Basic financial statements (inclusive of auditor reports)</w:t>
            </w:r>
          </w:p>
        </w:tc>
        <w:tc>
          <w:tcPr>
            <w:tcW w:w="897" w:type="dxa"/>
            <w:vAlign w:val="center"/>
          </w:tcPr>
          <w:p w14:paraId="1544C37F" w14:textId="796ADF03" w:rsidR="007B6501" w:rsidRPr="000C3ED2" w:rsidRDefault="0076465F" w:rsidP="00DA3543">
            <w:pPr>
              <w:pStyle w:val="Default"/>
              <w:jc w:val="center"/>
              <w:rPr>
                <w:sz w:val="18"/>
                <w:szCs w:val="18"/>
              </w:rPr>
            </w:pPr>
            <w:r>
              <w:rPr>
                <w:sz w:val="18"/>
                <w:szCs w:val="18"/>
              </w:rPr>
              <w:t>Yes</w:t>
            </w:r>
          </w:p>
        </w:tc>
        <w:tc>
          <w:tcPr>
            <w:tcW w:w="890" w:type="dxa"/>
            <w:vAlign w:val="center"/>
          </w:tcPr>
          <w:p w14:paraId="0A0C9371" w14:textId="77777777" w:rsidR="007B6501" w:rsidRPr="000C3ED2" w:rsidRDefault="007B6501" w:rsidP="00DA3543">
            <w:pPr>
              <w:pStyle w:val="Default"/>
              <w:jc w:val="center"/>
              <w:rPr>
                <w:sz w:val="18"/>
                <w:szCs w:val="18"/>
              </w:rPr>
            </w:pPr>
          </w:p>
        </w:tc>
      </w:tr>
    </w:tbl>
    <w:p w14:paraId="58574233" w14:textId="77777777" w:rsidR="007B6501" w:rsidRDefault="007B6501" w:rsidP="00F55F42">
      <w:pPr>
        <w:pStyle w:val="Default"/>
        <w:rPr>
          <w:sz w:val="23"/>
          <w:szCs w:val="23"/>
        </w:rPr>
      </w:pPr>
    </w:p>
    <w:p w14:paraId="1286C071" w14:textId="77777777" w:rsidR="00F55F42" w:rsidRDefault="00F55F42" w:rsidP="00F55F42">
      <w:pPr>
        <w:pStyle w:val="Default"/>
        <w:rPr>
          <w:sz w:val="23"/>
          <w:szCs w:val="23"/>
        </w:rPr>
      </w:pPr>
    </w:p>
    <w:p w14:paraId="72938489" w14:textId="27FE3BA3" w:rsidR="00F55F42" w:rsidRDefault="00F55F42" w:rsidP="00F55F42">
      <w:pPr>
        <w:pStyle w:val="Default"/>
        <w:rPr>
          <w:color w:val="auto"/>
          <w:sz w:val="23"/>
          <w:szCs w:val="23"/>
        </w:rPr>
      </w:pPr>
      <w:r>
        <w:rPr>
          <w:sz w:val="23"/>
          <w:szCs w:val="23"/>
        </w:rPr>
        <w:t xml:space="preserve">We were engaged by </w:t>
      </w:r>
      <w:r w:rsidR="007B6501" w:rsidRPr="007B6501">
        <w:rPr>
          <w:sz w:val="23"/>
          <w:szCs w:val="23"/>
          <w:highlight w:val="yellow"/>
        </w:rPr>
        <w:t>PHA Name</w:t>
      </w:r>
      <w:r>
        <w:rPr>
          <w:sz w:val="23"/>
          <w:szCs w:val="23"/>
        </w:rPr>
        <w:t xml:space="preserve"> to perform this agreed-upon procedures engagement and conducted our engagement in accordance with attestation standards established by the AICPA. We were not engaged to and did not conduct an examination or review engagement, the </w:t>
      </w:r>
      <w:r>
        <w:rPr>
          <w:color w:val="auto"/>
          <w:sz w:val="23"/>
          <w:szCs w:val="23"/>
        </w:rPr>
        <w:t xml:space="preserve">objective of which would be the expression of an opinion or conclusion, respectively, on </w:t>
      </w:r>
      <w:r w:rsidR="0076465F">
        <w:rPr>
          <w:color w:val="auto"/>
          <w:sz w:val="23"/>
          <w:szCs w:val="23"/>
        </w:rPr>
        <w:t>UFRS Rule Information</w:t>
      </w:r>
      <w:r>
        <w:rPr>
          <w:color w:val="auto"/>
          <w:sz w:val="23"/>
          <w:szCs w:val="23"/>
        </w:rPr>
        <w:t xml:space="preserve">. Accordingly, we do not express such an opinion or conclusion. Had we performed additional procedures, other matters might have come to our attention that would have been reported to you. </w:t>
      </w:r>
    </w:p>
    <w:p w14:paraId="3B7B5418" w14:textId="77777777" w:rsidR="007B6501" w:rsidRDefault="007B6501" w:rsidP="00F55F42">
      <w:pPr>
        <w:pStyle w:val="Default"/>
        <w:rPr>
          <w:color w:val="auto"/>
          <w:sz w:val="23"/>
          <w:szCs w:val="23"/>
        </w:rPr>
      </w:pPr>
    </w:p>
    <w:p w14:paraId="20507BF9" w14:textId="74BACDF6" w:rsidR="00F55F42" w:rsidRDefault="00F55F42" w:rsidP="00F55F42">
      <w:pPr>
        <w:pStyle w:val="Default"/>
        <w:rPr>
          <w:color w:val="auto"/>
          <w:sz w:val="23"/>
          <w:szCs w:val="23"/>
        </w:rPr>
      </w:pPr>
      <w:r>
        <w:rPr>
          <w:color w:val="auto"/>
          <w:sz w:val="23"/>
          <w:szCs w:val="23"/>
        </w:rPr>
        <w:lastRenderedPageBreak/>
        <w:t xml:space="preserve">We are required to be independent of </w:t>
      </w:r>
      <w:r w:rsidR="0076465F">
        <w:rPr>
          <w:color w:val="auto"/>
          <w:sz w:val="23"/>
          <w:szCs w:val="23"/>
        </w:rPr>
        <w:t>REAC</w:t>
      </w:r>
      <w:r>
        <w:rPr>
          <w:color w:val="auto"/>
          <w:sz w:val="23"/>
          <w:szCs w:val="23"/>
        </w:rPr>
        <w:t xml:space="preserve"> and to meet our other ethical responsibilities, in accordance with the relevant ethical requirements related to our agreed-upon procedures engagement. </w:t>
      </w:r>
    </w:p>
    <w:p w14:paraId="4A8AE408" w14:textId="77777777" w:rsidR="007B6501" w:rsidRDefault="007B6501" w:rsidP="00F55F42">
      <w:pPr>
        <w:pStyle w:val="Default"/>
        <w:rPr>
          <w:color w:val="auto"/>
          <w:sz w:val="23"/>
          <w:szCs w:val="23"/>
        </w:rPr>
      </w:pPr>
    </w:p>
    <w:p w14:paraId="4AB0D134" w14:textId="6992FF63" w:rsidR="00F55F42" w:rsidRDefault="00F55F42" w:rsidP="00F55F42">
      <w:pPr>
        <w:pStyle w:val="Default"/>
        <w:rPr>
          <w:color w:val="auto"/>
          <w:sz w:val="23"/>
          <w:szCs w:val="23"/>
        </w:rPr>
      </w:pPr>
      <w:r>
        <w:rPr>
          <w:color w:val="auto"/>
          <w:sz w:val="23"/>
          <w:szCs w:val="23"/>
        </w:rPr>
        <w:t xml:space="preserve">This report is intended solely for the information and use of </w:t>
      </w:r>
      <w:r w:rsidR="0076465F" w:rsidRPr="0076465F">
        <w:rPr>
          <w:color w:val="auto"/>
          <w:sz w:val="23"/>
          <w:szCs w:val="23"/>
          <w:highlight w:val="yellow"/>
        </w:rPr>
        <w:t>PHA Name</w:t>
      </w:r>
      <w:r w:rsidR="0076465F">
        <w:rPr>
          <w:color w:val="auto"/>
          <w:sz w:val="23"/>
          <w:szCs w:val="23"/>
        </w:rPr>
        <w:t xml:space="preserve"> and REAC</w:t>
      </w:r>
      <w:r>
        <w:rPr>
          <w:color w:val="auto"/>
          <w:sz w:val="23"/>
          <w:szCs w:val="23"/>
        </w:rPr>
        <w:t xml:space="preserve">, and is not intended to be, and should not be, used by anyone other than these specified parties. </w:t>
      </w:r>
    </w:p>
    <w:p w14:paraId="31CEB82C" w14:textId="77777777" w:rsidR="007B6501" w:rsidRDefault="007B6501" w:rsidP="00F55F42">
      <w:pPr>
        <w:pStyle w:val="Default"/>
        <w:rPr>
          <w:color w:val="auto"/>
          <w:sz w:val="23"/>
          <w:szCs w:val="23"/>
        </w:rPr>
      </w:pPr>
    </w:p>
    <w:p w14:paraId="54909C2D" w14:textId="77777777" w:rsidR="007B6501" w:rsidRDefault="007B6501" w:rsidP="00F55F42">
      <w:pPr>
        <w:pStyle w:val="Default"/>
        <w:rPr>
          <w:color w:val="auto"/>
          <w:sz w:val="23"/>
          <w:szCs w:val="23"/>
        </w:rPr>
      </w:pPr>
    </w:p>
    <w:p w14:paraId="7C56983F" w14:textId="627C45DA" w:rsidR="00F55F42" w:rsidRDefault="00F55F42" w:rsidP="00F55F42">
      <w:pPr>
        <w:pStyle w:val="Default"/>
        <w:rPr>
          <w:color w:val="auto"/>
          <w:sz w:val="23"/>
          <w:szCs w:val="23"/>
        </w:rPr>
      </w:pPr>
      <w:r>
        <w:rPr>
          <w:color w:val="auto"/>
          <w:sz w:val="23"/>
          <w:szCs w:val="23"/>
        </w:rPr>
        <w:t xml:space="preserve">[Additional paragraphs may be added to describe other matters.] </w:t>
      </w:r>
    </w:p>
    <w:p w14:paraId="6A63E9F9" w14:textId="77777777" w:rsidR="007B6501" w:rsidRDefault="007B6501" w:rsidP="00F55F42">
      <w:pPr>
        <w:pStyle w:val="Default"/>
        <w:rPr>
          <w:color w:val="auto"/>
          <w:sz w:val="23"/>
          <w:szCs w:val="23"/>
        </w:rPr>
      </w:pPr>
    </w:p>
    <w:p w14:paraId="211B995B" w14:textId="6A2746C0" w:rsidR="00F55F42" w:rsidRDefault="0076465F" w:rsidP="00F55F42">
      <w:pPr>
        <w:pStyle w:val="Default"/>
        <w:rPr>
          <w:color w:val="auto"/>
          <w:sz w:val="23"/>
          <w:szCs w:val="23"/>
        </w:rPr>
      </w:pPr>
      <w:r>
        <w:rPr>
          <w:color w:val="auto"/>
          <w:sz w:val="23"/>
          <w:szCs w:val="23"/>
        </w:rPr>
        <w:t>CPA NAME</w:t>
      </w:r>
      <w:r w:rsidR="00F55F42">
        <w:rPr>
          <w:color w:val="auto"/>
          <w:sz w:val="23"/>
          <w:szCs w:val="23"/>
        </w:rPr>
        <w:t xml:space="preserve"> </w:t>
      </w:r>
    </w:p>
    <w:p w14:paraId="13E1674E" w14:textId="77777777" w:rsidR="007B6501" w:rsidRDefault="007B6501" w:rsidP="00F55F42">
      <w:pPr>
        <w:pStyle w:val="Default"/>
        <w:rPr>
          <w:color w:val="auto"/>
          <w:sz w:val="23"/>
          <w:szCs w:val="23"/>
        </w:rPr>
      </w:pPr>
    </w:p>
    <w:p w14:paraId="3AD70443" w14:textId="3D4D624E" w:rsidR="0076465F" w:rsidRDefault="0076465F" w:rsidP="0076465F">
      <w:pPr>
        <w:pStyle w:val="Default"/>
        <w:rPr>
          <w:color w:val="auto"/>
          <w:sz w:val="23"/>
          <w:szCs w:val="23"/>
        </w:rPr>
      </w:pPr>
      <w:r>
        <w:rPr>
          <w:color w:val="auto"/>
          <w:sz w:val="23"/>
          <w:szCs w:val="23"/>
        </w:rPr>
        <w:t>CPA City and State</w:t>
      </w:r>
    </w:p>
    <w:p w14:paraId="5CC10FF1" w14:textId="06B45A63" w:rsidR="0076465F" w:rsidRDefault="0076465F" w:rsidP="0076465F">
      <w:pPr>
        <w:pStyle w:val="Default"/>
        <w:rPr>
          <w:color w:val="auto"/>
          <w:sz w:val="23"/>
          <w:szCs w:val="23"/>
        </w:rPr>
      </w:pPr>
      <w:r>
        <w:rPr>
          <w:color w:val="auto"/>
          <w:sz w:val="23"/>
          <w:szCs w:val="23"/>
        </w:rPr>
        <w:t>Date of Report</w:t>
      </w:r>
    </w:p>
    <w:sectPr w:rsidR="00764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42"/>
    <w:rsid w:val="000C3ED2"/>
    <w:rsid w:val="00675DC5"/>
    <w:rsid w:val="0076465F"/>
    <w:rsid w:val="007B6501"/>
    <w:rsid w:val="00DA3543"/>
    <w:rsid w:val="00F5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FAA9"/>
  <w15:chartTrackingRefBased/>
  <w15:docId w15:val="{15A805D1-FDC4-4438-89E3-21B31A65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F4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B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Sparks</dc:creator>
  <cp:keywords/>
  <dc:description/>
  <cp:lastModifiedBy>Kathy Christensen</cp:lastModifiedBy>
  <cp:revision>2</cp:revision>
  <dcterms:created xsi:type="dcterms:W3CDTF">2021-06-11T13:50:00Z</dcterms:created>
  <dcterms:modified xsi:type="dcterms:W3CDTF">2021-06-11T14:33:00Z</dcterms:modified>
</cp:coreProperties>
</file>