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8C" w:rsidRDefault="00E67FCF" w:rsidP="00E67FCF">
      <w:pPr>
        <w:spacing w:after="0"/>
        <w:jc w:val="center"/>
      </w:pPr>
      <w:bookmarkStart w:id="0" w:name="_GoBack"/>
      <w:bookmarkEnd w:id="0"/>
      <w:r>
        <w:t>Agreed Upon Procedure Representation Letter – PHA</w:t>
      </w:r>
    </w:p>
    <w:p w:rsidR="00E67FCF" w:rsidRDefault="00E67FCF" w:rsidP="00E67FCF">
      <w:pPr>
        <w:spacing w:after="0"/>
        <w:jc w:val="center"/>
      </w:pPr>
      <w:r w:rsidRPr="00E67FCF">
        <w:rPr>
          <w:highlight w:val="yellow"/>
        </w:rPr>
        <w:t>On PHA Letterhead</w:t>
      </w:r>
    </w:p>
    <w:p w:rsidR="00E67FCF" w:rsidRDefault="00E67FCF" w:rsidP="00E67FCF">
      <w:pPr>
        <w:spacing w:after="0"/>
        <w:jc w:val="center"/>
      </w:pPr>
    </w:p>
    <w:p w:rsidR="00E67FCF" w:rsidRDefault="00E67FCF" w:rsidP="00E67FCF">
      <w:pPr>
        <w:spacing w:after="0"/>
      </w:pPr>
    </w:p>
    <w:p w:rsidR="00E67FCF" w:rsidRDefault="00E67FCF" w:rsidP="00E67FCF">
      <w:pPr>
        <w:spacing w:after="0"/>
      </w:pPr>
      <w:r w:rsidRPr="00E67FCF">
        <w:rPr>
          <w:highlight w:val="yellow"/>
        </w:rPr>
        <w:t>Date</w:t>
      </w:r>
    </w:p>
    <w:p w:rsidR="00E67FCF" w:rsidRDefault="00E67FCF" w:rsidP="00E67FCF">
      <w:pPr>
        <w:spacing w:after="0"/>
      </w:pPr>
    </w:p>
    <w:p w:rsidR="00E67FCF" w:rsidRPr="00E67FCF" w:rsidRDefault="00E67FCF" w:rsidP="00E67FCF">
      <w:pPr>
        <w:spacing w:after="0"/>
        <w:rPr>
          <w:highlight w:val="yellow"/>
        </w:rPr>
      </w:pPr>
      <w:r w:rsidRPr="00E67FCF">
        <w:rPr>
          <w:highlight w:val="yellow"/>
        </w:rPr>
        <w:t>CPA Firm Name</w:t>
      </w:r>
    </w:p>
    <w:p w:rsidR="00E67FCF" w:rsidRDefault="00E67FCF" w:rsidP="00E67FCF">
      <w:pPr>
        <w:spacing w:after="0"/>
      </w:pPr>
      <w:r w:rsidRPr="00E67FCF">
        <w:rPr>
          <w:highlight w:val="yellow"/>
        </w:rPr>
        <w:t>CPA Firm Address</w:t>
      </w:r>
    </w:p>
    <w:p w:rsidR="00E67FCF" w:rsidRPr="00E67FCF" w:rsidRDefault="00E67FCF" w:rsidP="00E67FCF">
      <w:pPr>
        <w:spacing w:after="0"/>
      </w:pPr>
    </w:p>
    <w:p w:rsidR="00E67FCF" w:rsidRDefault="00E67FCF" w:rsidP="00E67FCF">
      <w:pPr>
        <w:autoSpaceDE w:val="0"/>
        <w:autoSpaceDN w:val="0"/>
        <w:adjustRightInd w:val="0"/>
        <w:spacing w:after="0" w:line="240" w:lineRule="auto"/>
        <w:rPr>
          <w:rFonts w:eastAsia="Swiss721BT-Roman" w:cs="Swiss721BT-Roman"/>
        </w:rPr>
      </w:pPr>
      <w:r w:rsidRPr="00E67FCF">
        <w:rPr>
          <w:rFonts w:eastAsia="Swiss721BT-Roman" w:cs="Swiss721BT-Roman"/>
        </w:rPr>
        <w:t>In connection with your engagement to apply the agreed‐upon procedure to the electronic submission and related</w:t>
      </w:r>
      <w:r>
        <w:rPr>
          <w:rFonts w:eastAsia="Swiss721BT-Roman" w:cs="Swiss721BT-Roman"/>
        </w:rPr>
        <w:t xml:space="preserve"> </w:t>
      </w:r>
      <w:r w:rsidRPr="00E67FCF">
        <w:rPr>
          <w:rFonts w:eastAsia="Swiss721BT-Roman" w:cs="Swiss721BT-Roman"/>
        </w:rPr>
        <w:t>hard copy documents of [Entity’s Name] as of and for the year ended [Date] , we confirm, to the best of our</w:t>
      </w:r>
      <w:r>
        <w:rPr>
          <w:rFonts w:eastAsia="Swiss721BT-Roman" w:cs="Swiss721BT-Roman"/>
        </w:rPr>
        <w:t xml:space="preserve"> </w:t>
      </w:r>
      <w:r w:rsidRPr="00E67FCF">
        <w:rPr>
          <w:rFonts w:eastAsia="Swiss721BT-Roman" w:cs="Swiss721BT-Roman"/>
        </w:rPr>
        <w:t>knowledge and belief, the following representations made to you during your engagement.</w:t>
      </w:r>
    </w:p>
    <w:p w:rsidR="00E67FCF" w:rsidRPr="00E67FCF" w:rsidRDefault="00E67FCF" w:rsidP="00E67FCF">
      <w:pPr>
        <w:autoSpaceDE w:val="0"/>
        <w:autoSpaceDN w:val="0"/>
        <w:adjustRightInd w:val="0"/>
        <w:spacing w:after="0" w:line="240" w:lineRule="auto"/>
        <w:rPr>
          <w:rFonts w:eastAsia="Swiss721BT-Roman" w:cs="Swiss721BT-Roman"/>
        </w:rPr>
      </w:pPr>
    </w:p>
    <w:p w:rsidR="00E67FCF" w:rsidRPr="00E67FCF" w:rsidRDefault="00E67FCF" w:rsidP="00E67FCF">
      <w:pPr>
        <w:pStyle w:val="ListParagraph"/>
        <w:numPr>
          <w:ilvl w:val="0"/>
          <w:numId w:val="3"/>
        </w:numPr>
        <w:autoSpaceDE w:val="0"/>
        <w:autoSpaceDN w:val="0"/>
        <w:adjustRightInd w:val="0"/>
        <w:spacing w:after="0" w:line="240" w:lineRule="auto"/>
        <w:rPr>
          <w:rFonts w:eastAsia="Swiss721BT-Roman" w:cs="Swiss721BT-Roman"/>
        </w:rPr>
      </w:pPr>
      <w:r w:rsidRPr="00E67FCF">
        <w:rPr>
          <w:rFonts w:eastAsia="Swiss721BT-Roman" w:cs="Swiss721BT-Roman"/>
        </w:rPr>
        <w:t>We are responsible for the electronic submission of required annual financial data to HUD’s Real Estate Assessment Center (REAC) and for ensuring that it is complete, accurate, and timely filed, in accordance with our regulatory and contractual obligations to the U.S. Department of Housing and Urban Development (HUD).</w:t>
      </w:r>
    </w:p>
    <w:p w:rsidR="00E67FCF" w:rsidRPr="00E67FCF" w:rsidRDefault="00E67FCF" w:rsidP="00E67FCF">
      <w:pPr>
        <w:pStyle w:val="ListParagraph"/>
        <w:numPr>
          <w:ilvl w:val="0"/>
          <w:numId w:val="3"/>
        </w:numPr>
        <w:autoSpaceDE w:val="0"/>
        <w:autoSpaceDN w:val="0"/>
        <w:adjustRightInd w:val="0"/>
        <w:spacing w:after="0" w:line="240" w:lineRule="auto"/>
      </w:pPr>
      <w:r w:rsidRPr="00E67FCF">
        <w:rPr>
          <w:rFonts w:eastAsia="Swiss721BT-Roman" w:cs="Swiss721BT-Roman"/>
        </w:rPr>
        <w:t>The electronic submission of the items listed in the “UFRS Rule Information” column agrees exactly with the corresponding printed documents listed in the “Hard Copy Documents” column as shown below.</w:t>
      </w:r>
    </w:p>
    <w:p w:rsidR="00E67FCF" w:rsidRDefault="00E67FCF" w:rsidP="00E67FCF">
      <w:pPr>
        <w:autoSpaceDE w:val="0"/>
        <w:autoSpaceDN w:val="0"/>
        <w:adjustRightInd w:val="0"/>
        <w:spacing w:after="0" w:line="240" w:lineRule="auto"/>
      </w:pPr>
    </w:p>
    <w:p w:rsidR="00E67FCF" w:rsidRDefault="00E67FCF" w:rsidP="00E67FCF">
      <w:pPr>
        <w:autoSpaceDE w:val="0"/>
        <w:autoSpaceDN w:val="0"/>
        <w:adjustRightInd w:val="0"/>
        <w:spacing w:after="0" w:line="240" w:lineRule="auto"/>
        <w:ind w:left="720"/>
      </w:pPr>
      <w:r w:rsidRPr="00E67FCF">
        <w:rPr>
          <w:highlight w:val="yellow"/>
        </w:rPr>
        <w:t>Select as appropriate</w:t>
      </w:r>
    </w:p>
    <w:p w:rsidR="00E67FCF" w:rsidRDefault="00E67FCF" w:rsidP="00E67FCF">
      <w:pPr>
        <w:autoSpaceDE w:val="0"/>
        <w:autoSpaceDN w:val="0"/>
        <w:adjustRightInd w:val="0"/>
        <w:spacing w:after="0" w:line="240" w:lineRule="auto"/>
        <w:ind w:left="720"/>
      </w:pPr>
    </w:p>
    <w:tbl>
      <w:tblPr>
        <w:tblStyle w:val="TableGrid"/>
        <w:tblW w:w="9355" w:type="dxa"/>
        <w:tblLook w:val="04A0" w:firstRow="1" w:lastRow="0" w:firstColumn="1" w:lastColumn="0" w:noHBand="0" w:noVBand="1"/>
      </w:tblPr>
      <w:tblGrid>
        <w:gridCol w:w="1165"/>
        <w:gridCol w:w="4230"/>
        <w:gridCol w:w="3960"/>
      </w:tblGrid>
      <w:tr w:rsidR="00E67FCF" w:rsidRPr="00FB4094" w:rsidTr="00615ADC">
        <w:tc>
          <w:tcPr>
            <w:tcW w:w="1165" w:type="dxa"/>
          </w:tcPr>
          <w:p w:rsidR="00E67FCF" w:rsidRPr="00FB4094" w:rsidRDefault="00E67FCF" w:rsidP="00615ADC">
            <w:pPr>
              <w:rPr>
                <w:rFonts w:ascii="Calibri" w:eastAsiaTheme="minorEastAsia" w:hAnsi="Calibri" w:cs="Calibri"/>
                <w:b/>
              </w:rPr>
            </w:pPr>
            <w:r>
              <w:rPr>
                <w:rFonts w:ascii="Calibri" w:eastAsiaTheme="minorEastAsia" w:hAnsi="Calibri" w:cs="Calibri"/>
                <w:b/>
              </w:rPr>
              <w:t>Procedure</w:t>
            </w:r>
          </w:p>
        </w:tc>
        <w:tc>
          <w:tcPr>
            <w:tcW w:w="4230" w:type="dxa"/>
          </w:tcPr>
          <w:p w:rsidR="00E67FCF" w:rsidRPr="00FB4094" w:rsidRDefault="00E67FCF" w:rsidP="00615ADC">
            <w:pPr>
              <w:rPr>
                <w:b/>
              </w:rPr>
            </w:pPr>
            <w:r w:rsidRPr="00FB4094">
              <w:rPr>
                <w:rFonts w:ascii="Calibri" w:eastAsiaTheme="minorEastAsia" w:hAnsi="Calibri" w:cs="Calibri"/>
                <w:b/>
              </w:rPr>
              <w:t>UFRS Rule Information</w:t>
            </w:r>
          </w:p>
        </w:tc>
        <w:tc>
          <w:tcPr>
            <w:tcW w:w="3960" w:type="dxa"/>
          </w:tcPr>
          <w:p w:rsidR="00E67FCF" w:rsidRPr="00FB4094" w:rsidRDefault="00E67FCF" w:rsidP="00615ADC">
            <w:pPr>
              <w:rPr>
                <w:b/>
              </w:rPr>
            </w:pPr>
            <w:r w:rsidRPr="00FB4094">
              <w:rPr>
                <w:rFonts w:ascii="Calibri" w:eastAsiaTheme="minorEastAsia" w:hAnsi="Calibri" w:cs="Calibri"/>
                <w:b/>
              </w:rPr>
              <w:t>Hard Copy Document(s)</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1</w:t>
            </w:r>
          </w:p>
        </w:tc>
        <w:tc>
          <w:tcPr>
            <w:tcW w:w="4230" w:type="dxa"/>
          </w:tcPr>
          <w:p w:rsidR="00E67FCF" w:rsidRPr="00FB4094" w:rsidRDefault="00E67FCF" w:rsidP="00615ADC">
            <w:pPr>
              <w:rPr>
                <w:b/>
              </w:rPr>
            </w:pPr>
            <w:r>
              <w:rPr>
                <w:rFonts w:ascii="Calibri" w:eastAsiaTheme="minorEastAsia" w:hAnsi="Calibri" w:cs="Calibri"/>
              </w:rPr>
              <w:t>Balance Sheet and Revenue Expense (data line items 111 to 13901)</w:t>
            </w:r>
          </w:p>
        </w:tc>
        <w:tc>
          <w:tcPr>
            <w:tcW w:w="3960" w:type="dxa"/>
          </w:tcPr>
          <w:p w:rsidR="00E67FCF" w:rsidRPr="00FB4094" w:rsidRDefault="00E67FCF" w:rsidP="00615ADC">
            <w:pPr>
              <w:rPr>
                <w:b/>
              </w:rPr>
            </w:pPr>
            <w:r>
              <w:rPr>
                <w:rFonts w:ascii="Calibri" w:eastAsiaTheme="minorEastAsia" w:hAnsi="Calibri" w:cs="Calibri"/>
              </w:rPr>
              <w:t>Financial Data Schedule, all CFDAs, if applicable</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2</w:t>
            </w:r>
          </w:p>
        </w:tc>
        <w:tc>
          <w:tcPr>
            <w:tcW w:w="4230" w:type="dxa"/>
          </w:tcPr>
          <w:p w:rsidR="00E67FCF" w:rsidRPr="00FB4094" w:rsidRDefault="00E67FCF" w:rsidP="00615ADC">
            <w:pPr>
              <w:rPr>
                <w:b/>
              </w:rPr>
            </w:pPr>
            <w:r>
              <w:rPr>
                <w:rFonts w:ascii="Calibri" w:eastAsiaTheme="minorEastAsia" w:hAnsi="Calibri" w:cs="Calibri"/>
              </w:rPr>
              <w:t>Footnotes (data element G5000-010)</w:t>
            </w:r>
          </w:p>
        </w:tc>
        <w:tc>
          <w:tcPr>
            <w:tcW w:w="3960" w:type="dxa"/>
          </w:tcPr>
          <w:p w:rsidR="00E67FCF" w:rsidRPr="00FB4094" w:rsidRDefault="00E67FCF" w:rsidP="00615ADC">
            <w:pPr>
              <w:rPr>
                <w:b/>
              </w:rPr>
            </w:pPr>
            <w:r>
              <w:rPr>
                <w:rFonts w:ascii="Calibri" w:eastAsiaTheme="minorEastAsia" w:hAnsi="Calibri" w:cs="Calibri"/>
              </w:rPr>
              <w:t>Footnotes to audited basic financial statements</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3</w:t>
            </w:r>
          </w:p>
        </w:tc>
        <w:tc>
          <w:tcPr>
            <w:tcW w:w="4230" w:type="dxa"/>
          </w:tcPr>
          <w:p w:rsidR="00E67FCF" w:rsidRPr="00FB4094" w:rsidRDefault="00E67FCF" w:rsidP="00615ADC">
            <w:pPr>
              <w:rPr>
                <w:b/>
              </w:rPr>
            </w:pPr>
            <w:r>
              <w:t>Type of opinion on FDS (data element G3100-040</w:t>
            </w:r>
            <w:r w:rsidRPr="00FB4094">
              <w:rPr>
                <w:rFonts w:ascii="Calibri" w:eastAsiaTheme="minorEastAsia" w:hAnsi="Calibri" w:cs="Calibri"/>
              </w:rPr>
              <w:t>)</w:t>
            </w:r>
          </w:p>
        </w:tc>
        <w:tc>
          <w:tcPr>
            <w:tcW w:w="3960" w:type="dxa"/>
          </w:tcPr>
          <w:p w:rsidR="00E67FCF" w:rsidRPr="00FB4094" w:rsidRDefault="00E67FCF" w:rsidP="00615ADC">
            <w:pPr>
              <w:rPr>
                <w:b/>
              </w:rPr>
            </w:pPr>
            <w:r>
              <w:rPr>
                <w:rFonts w:ascii="Calibri" w:eastAsiaTheme="minorEastAsia" w:hAnsi="Calibri" w:cs="Calibri"/>
              </w:rPr>
              <w:t>Auditor’s Supplemental report on FDS</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4</w:t>
            </w:r>
          </w:p>
        </w:tc>
        <w:tc>
          <w:tcPr>
            <w:tcW w:w="4230" w:type="dxa"/>
          </w:tcPr>
          <w:p w:rsidR="00E67FCF" w:rsidRPr="00FB4094" w:rsidRDefault="00E67FCF" w:rsidP="00615ADC">
            <w:pPr>
              <w:rPr>
                <w:b/>
              </w:rPr>
            </w:pPr>
            <w:r>
              <w:t>Audit findings narrative (data element G5200-010)</w:t>
            </w:r>
          </w:p>
        </w:tc>
        <w:tc>
          <w:tcPr>
            <w:tcW w:w="3960" w:type="dxa"/>
          </w:tcPr>
          <w:p w:rsidR="00E67FCF" w:rsidRPr="00FB4094" w:rsidRDefault="00E67FCF" w:rsidP="00615ADC">
            <w:pPr>
              <w:rPr>
                <w:b/>
              </w:rPr>
            </w:pPr>
            <w:r>
              <w:rPr>
                <w:rFonts w:ascii="Calibri" w:eastAsiaTheme="minorEastAsia" w:hAnsi="Calibri" w:cs="Calibri"/>
              </w:rPr>
              <w:t xml:space="preserve">Schedule of findings and Questioned Costs </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5</w:t>
            </w:r>
          </w:p>
        </w:tc>
        <w:tc>
          <w:tcPr>
            <w:tcW w:w="4230" w:type="dxa"/>
          </w:tcPr>
          <w:p w:rsidR="00E67FCF" w:rsidRPr="00FB4094" w:rsidRDefault="00E67FCF" w:rsidP="00615ADC">
            <w:pPr>
              <w:rPr>
                <w:b/>
              </w:rPr>
            </w:pPr>
            <w:r>
              <w:t>General information (data element series G2000, G2100, G2200,G9000, G9100)</w:t>
            </w:r>
          </w:p>
        </w:tc>
        <w:tc>
          <w:tcPr>
            <w:tcW w:w="3960" w:type="dxa"/>
          </w:tcPr>
          <w:p w:rsidR="00E67FCF" w:rsidRPr="00FB4094" w:rsidRDefault="00E67FCF" w:rsidP="00615ADC">
            <w:pPr>
              <w:rPr>
                <w:b/>
              </w:rPr>
            </w:pPr>
            <w:r>
              <w:rPr>
                <w:rFonts w:ascii="Calibri" w:eastAsiaTheme="minorEastAsia" w:hAnsi="Calibri" w:cs="Calibri"/>
              </w:rPr>
              <w:t>OMB Data Collection Form</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6</w:t>
            </w:r>
          </w:p>
        </w:tc>
        <w:tc>
          <w:tcPr>
            <w:tcW w:w="4230" w:type="dxa"/>
          </w:tcPr>
          <w:p w:rsidR="00E67FCF" w:rsidRPr="00FB4094" w:rsidRDefault="00E67FCF" w:rsidP="00615ADC">
            <w:pPr>
              <w:rPr>
                <w:b/>
              </w:rPr>
            </w:pPr>
            <w:r>
              <w:t>Financial statement report information (data element G3000-010 to G3000-050)</w:t>
            </w:r>
          </w:p>
        </w:tc>
        <w:tc>
          <w:tcPr>
            <w:tcW w:w="3960" w:type="dxa"/>
          </w:tcPr>
          <w:p w:rsidR="00E67FCF" w:rsidRPr="00FB4094" w:rsidRDefault="00E67FCF" w:rsidP="00615ADC">
            <w:pPr>
              <w:rPr>
                <w:b/>
              </w:rPr>
            </w:pPr>
            <w:r>
              <w:rPr>
                <w:rFonts w:ascii="Calibri" w:eastAsiaTheme="minorEastAsia" w:hAnsi="Calibri" w:cs="Calibri"/>
              </w:rPr>
              <w:t>Schedule of Findings and Questioned Costs , Part 1 of OMB Data Collection Form</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7</w:t>
            </w:r>
          </w:p>
        </w:tc>
        <w:tc>
          <w:tcPr>
            <w:tcW w:w="4230" w:type="dxa"/>
          </w:tcPr>
          <w:p w:rsidR="00E67FCF" w:rsidRPr="00FB4094" w:rsidRDefault="00E67FCF" w:rsidP="00615ADC">
            <w:pPr>
              <w:rPr>
                <w:b/>
              </w:rPr>
            </w:pPr>
            <w:r>
              <w:t>Federal program report information (data element G4000-020 to G4000-040)</w:t>
            </w:r>
          </w:p>
        </w:tc>
        <w:tc>
          <w:tcPr>
            <w:tcW w:w="3960" w:type="dxa"/>
          </w:tcPr>
          <w:p w:rsidR="00E67FCF" w:rsidRPr="00FB4094" w:rsidRDefault="00E67FCF" w:rsidP="00615ADC">
            <w:pPr>
              <w:rPr>
                <w:b/>
              </w:rPr>
            </w:pPr>
            <w:r>
              <w:rPr>
                <w:rFonts w:ascii="Calibri" w:eastAsiaTheme="minorEastAsia" w:hAnsi="Calibri" w:cs="Calibri"/>
              </w:rPr>
              <w:t>Schedule of Findings and Questioned Costs , Part 1 of OMB Data Collection Form</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8</w:t>
            </w:r>
          </w:p>
        </w:tc>
        <w:tc>
          <w:tcPr>
            <w:tcW w:w="4230" w:type="dxa"/>
          </w:tcPr>
          <w:p w:rsidR="00E67FCF" w:rsidRPr="00FB4094" w:rsidRDefault="00E67FCF" w:rsidP="00615ADC">
            <w:pPr>
              <w:rPr>
                <w:rFonts w:ascii="Calibri" w:eastAsiaTheme="minorEastAsia" w:hAnsi="Calibri" w:cs="Calibri"/>
              </w:rPr>
            </w:pPr>
            <w:r>
              <w:t>Type of Compliance Requirement (G4200-020 &amp; G4000-030)</w:t>
            </w:r>
          </w:p>
        </w:tc>
        <w:tc>
          <w:tcPr>
            <w:tcW w:w="3960" w:type="dxa"/>
          </w:tcPr>
          <w:p w:rsidR="00E67FCF" w:rsidRPr="00FB4094" w:rsidRDefault="00E67FCF" w:rsidP="00615ADC">
            <w:pPr>
              <w:rPr>
                <w:rFonts w:ascii="Calibri" w:eastAsiaTheme="minorEastAsia" w:hAnsi="Calibri" w:cs="Calibri"/>
              </w:rPr>
            </w:pPr>
            <w:r>
              <w:rPr>
                <w:rFonts w:ascii="Calibri" w:eastAsiaTheme="minorEastAsia" w:hAnsi="Calibri" w:cs="Calibri"/>
              </w:rPr>
              <w:t>OMB Data Collection Form</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9</w:t>
            </w:r>
          </w:p>
        </w:tc>
        <w:tc>
          <w:tcPr>
            <w:tcW w:w="4230" w:type="dxa"/>
          </w:tcPr>
          <w:p w:rsidR="00E67FCF" w:rsidRPr="00FB4094" w:rsidRDefault="00E67FCF" w:rsidP="00615ADC">
            <w:pPr>
              <w:rPr>
                <w:rFonts w:ascii="Calibri" w:eastAsiaTheme="minorEastAsia" w:hAnsi="Calibri" w:cs="Calibri"/>
              </w:rPr>
            </w:pPr>
            <w:r>
              <w:t>Basic financial statements and auditor reports required to be submitted electronically</w:t>
            </w:r>
          </w:p>
        </w:tc>
        <w:tc>
          <w:tcPr>
            <w:tcW w:w="3960" w:type="dxa"/>
          </w:tcPr>
          <w:p w:rsidR="00E67FCF" w:rsidRPr="00FB4094" w:rsidRDefault="00E67FCF" w:rsidP="00615ADC">
            <w:pPr>
              <w:rPr>
                <w:rFonts w:ascii="Calibri" w:eastAsiaTheme="minorEastAsia" w:hAnsi="Calibri" w:cs="Calibri"/>
              </w:rPr>
            </w:pPr>
            <w:r>
              <w:rPr>
                <w:rFonts w:ascii="Calibri" w:eastAsiaTheme="minorEastAsia" w:hAnsi="Calibri" w:cs="Calibri"/>
              </w:rPr>
              <w:t>Basic Financial Statements (inclusive of auditor reports)</w:t>
            </w:r>
          </w:p>
        </w:tc>
      </w:tr>
    </w:tbl>
    <w:p w:rsidR="00E67FCF" w:rsidRDefault="00E67FCF" w:rsidP="00E67FCF">
      <w:pPr>
        <w:spacing w:after="0"/>
        <w:rPr>
          <w:b/>
        </w:rPr>
      </w:pPr>
    </w:p>
    <w:p w:rsidR="00E67FCF" w:rsidRDefault="00E67FCF" w:rsidP="00E67FCF">
      <w:pPr>
        <w:spacing w:after="0"/>
        <w:rPr>
          <w:b/>
        </w:rPr>
      </w:pPr>
    </w:p>
    <w:p w:rsidR="00E67FCF" w:rsidRPr="00FB4094" w:rsidRDefault="00E67FCF" w:rsidP="00E67FCF">
      <w:pPr>
        <w:jc w:val="center"/>
        <w:rPr>
          <w:b/>
        </w:rPr>
      </w:pPr>
      <w:r>
        <w:rPr>
          <w:rFonts w:ascii="Calibri" w:eastAsiaTheme="minorEastAsia" w:hAnsi="Calibri" w:cs="Calibri"/>
          <w:b/>
          <w:bCs/>
        </w:rPr>
        <w:t xml:space="preserve"> </w:t>
      </w:r>
      <w:r w:rsidRPr="00B423CD">
        <w:rPr>
          <w:rFonts w:ascii="Calibri" w:eastAsiaTheme="minorEastAsia" w:hAnsi="Calibri" w:cs="Calibri"/>
          <w:b/>
          <w:bCs/>
          <w:highlight w:val="yellow"/>
        </w:rPr>
        <w:t>(</w:t>
      </w:r>
      <w:r>
        <w:rPr>
          <w:rFonts w:ascii="Calibri" w:eastAsiaTheme="minorEastAsia" w:hAnsi="Calibri" w:cs="Calibri"/>
          <w:b/>
          <w:bCs/>
          <w:highlight w:val="yellow"/>
        </w:rPr>
        <w:t>GAGAS ONLY</w:t>
      </w:r>
      <w:r w:rsidRPr="00B423CD">
        <w:rPr>
          <w:rFonts w:ascii="Calibri" w:eastAsiaTheme="minorEastAsia" w:hAnsi="Calibri" w:cs="Calibri"/>
          <w:b/>
          <w:bCs/>
          <w:highlight w:val="yellow"/>
        </w:rPr>
        <w:t>)</w:t>
      </w:r>
    </w:p>
    <w:tbl>
      <w:tblPr>
        <w:tblStyle w:val="TableGrid"/>
        <w:tblW w:w="9355" w:type="dxa"/>
        <w:tblLook w:val="04A0" w:firstRow="1" w:lastRow="0" w:firstColumn="1" w:lastColumn="0" w:noHBand="0" w:noVBand="1"/>
      </w:tblPr>
      <w:tblGrid>
        <w:gridCol w:w="1165"/>
        <w:gridCol w:w="4230"/>
        <w:gridCol w:w="3960"/>
      </w:tblGrid>
      <w:tr w:rsidR="00E67FCF" w:rsidRPr="00FB4094" w:rsidTr="00615ADC">
        <w:tc>
          <w:tcPr>
            <w:tcW w:w="1165" w:type="dxa"/>
          </w:tcPr>
          <w:p w:rsidR="00E67FCF" w:rsidRPr="00FB4094" w:rsidRDefault="00E67FCF" w:rsidP="00615ADC">
            <w:pPr>
              <w:rPr>
                <w:rFonts w:ascii="Calibri" w:eastAsiaTheme="minorEastAsia" w:hAnsi="Calibri" w:cs="Calibri"/>
                <w:b/>
              </w:rPr>
            </w:pPr>
            <w:r>
              <w:rPr>
                <w:rFonts w:ascii="Calibri" w:eastAsiaTheme="minorEastAsia" w:hAnsi="Calibri" w:cs="Calibri"/>
                <w:b/>
              </w:rPr>
              <w:t>Procedure</w:t>
            </w:r>
          </w:p>
        </w:tc>
        <w:tc>
          <w:tcPr>
            <w:tcW w:w="4230" w:type="dxa"/>
          </w:tcPr>
          <w:p w:rsidR="00E67FCF" w:rsidRPr="00FB4094" w:rsidRDefault="00E67FCF" w:rsidP="00615ADC">
            <w:pPr>
              <w:rPr>
                <w:b/>
              </w:rPr>
            </w:pPr>
            <w:r w:rsidRPr="00FB4094">
              <w:rPr>
                <w:rFonts w:ascii="Calibri" w:eastAsiaTheme="minorEastAsia" w:hAnsi="Calibri" w:cs="Calibri"/>
                <w:b/>
              </w:rPr>
              <w:t>UFRS Rule Information</w:t>
            </w:r>
          </w:p>
        </w:tc>
        <w:tc>
          <w:tcPr>
            <w:tcW w:w="3960" w:type="dxa"/>
          </w:tcPr>
          <w:p w:rsidR="00E67FCF" w:rsidRPr="00FB4094" w:rsidRDefault="00E67FCF" w:rsidP="00615ADC">
            <w:pPr>
              <w:rPr>
                <w:b/>
              </w:rPr>
            </w:pPr>
            <w:r w:rsidRPr="00FB4094">
              <w:rPr>
                <w:rFonts w:ascii="Calibri" w:eastAsiaTheme="minorEastAsia" w:hAnsi="Calibri" w:cs="Calibri"/>
                <w:b/>
              </w:rPr>
              <w:t>Hard Copy Document(s)</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1</w:t>
            </w:r>
          </w:p>
        </w:tc>
        <w:tc>
          <w:tcPr>
            <w:tcW w:w="4230" w:type="dxa"/>
          </w:tcPr>
          <w:p w:rsidR="00E67FCF" w:rsidRPr="00FB4094" w:rsidRDefault="00E67FCF" w:rsidP="00615ADC">
            <w:pPr>
              <w:rPr>
                <w:b/>
              </w:rPr>
            </w:pPr>
            <w:r>
              <w:rPr>
                <w:rFonts w:ascii="Calibri" w:eastAsiaTheme="minorEastAsia" w:hAnsi="Calibri" w:cs="Calibri"/>
              </w:rPr>
              <w:t>Balance Sheet and Revenue Expense (data line items 111 to 13901)</w:t>
            </w:r>
          </w:p>
        </w:tc>
        <w:tc>
          <w:tcPr>
            <w:tcW w:w="3960" w:type="dxa"/>
          </w:tcPr>
          <w:p w:rsidR="00E67FCF" w:rsidRPr="00FB4094" w:rsidRDefault="00E67FCF" w:rsidP="00615ADC">
            <w:pPr>
              <w:rPr>
                <w:b/>
              </w:rPr>
            </w:pPr>
            <w:r>
              <w:rPr>
                <w:rFonts w:ascii="Calibri" w:eastAsiaTheme="minorEastAsia" w:hAnsi="Calibri" w:cs="Calibri"/>
              </w:rPr>
              <w:t>Financial Data Schedule, all CFDAs, if applicable</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2</w:t>
            </w:r>
          </w:p>
        </w:tc>
        <w:tc>
          <w:tcPr>
            <w:tcW w:w="4230" w:type="dxa"/>
          </w:tcPr>
          <w:p w:rsidR="00E67FCF" w:rsidRPr="00FB4094" w:rsidRDefault="00E67FCF" w:rsidP="00615ADC">
            <w:pPr>
              <w:rPr>
                <w:b/>
              </w:rPr>
            </w:pPr>
            <w:r>
              <w:rPr>
                <w:rFonts w:ascii="Calibri" w:eastAsiaTheme="minorEastAsia" w:hAnsi="Calibri" w:cs="Calibri"/>
              </w:rPr>
              <w:t>Footnotes (data element G5000-010)</w:t>
            </w:r>
          </w:p>
        </w:tc>
        <w:tc>
          <w:tcPr>
            <w:tcW w:w="3960" w:type="dxa"/>
          </w:tcPr>
          <w:p w:rsidR="00E67FCF" w:rsidRPr="00FB4094" w:rsidRDefault="00E67FCF" w:rsidP="00615ADC">
            <w:pPr>
              <w:rPr>
                <w:b/>
              </w:rPr>
            </w:pPr>
            <w:r>
              <w:rPr>
                <w:rFonts w:ascii="Calibri" w:eastAsiaTheme="minorEastAsia" w:hAnsi="Calibri" w:cs="Calibri"/>
              </w:rPr>
              <w:t>Footnotes to audited basic financial statements</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3</w:t>
            </w:r>
          </w:p>
        </w:tc>
        <w:tc>
          <w:tcPr>
            <w:tcW w:w="4230" w:type="dxa"/>
          </w:tcPr>
          <w:p w:rsidR="00E67FCF" w:rsidRPr="00FB4094" w:rsidRDefault="00E67FCF" w:rsidP="00615ADC">
            <w:pPr>
              <w:rPr>
                <w:b/>
              </w:rPr>
            </w:pPr>
            <w:r>
              <w:t>Type of opinion on FDS (data element G3100-040</w:t>
            </w:r>
            <w:r w:rsidRPr="00FB4094">
              <w:rPr>
                <w:rFonts w:ascii="Calibri" w:eastAsiaTheme="minorEastAsia" w:hAnsi="Calibri" w:cs="Calibri"/>
              </w:rPr>
              <w:t>)</w:t>
            </w:r>
          </w:p>
        </w:tc>
        <w:tc>
          <w:tcPr>
            <w:tcW w:w="3960" w:type="dxa"/>
          </w:tcPr>
          <w:p w:rsidR="00E67FCF" w:rsidRPr="00FB4094" w:rsidRDefault="00E67FCF" w:rsidP="00615ADC">
            <w:pPr>
              <w:rPr>
                <w:b/>
              </w:rPr>
            </w:pPr>
            <w:r>
              <w:rPr>
                <w:rFonts w:ascii="Calibri" w:eastAsiaTheme="minorEastAsia" w:hAnsi="Calibri" w:cs="Calibri"/>
              </w:rPr>
              <w:t>Auditor’s Supplemental report on FDS</w:t>
            </w:r>
          </w:p>
        </w:tc>
      </w:tr>
      <w:tr w:rsidR="00E67FCF" w:rsidRPr="00FB4094" w:rsidTr="00615ADC">
        <w:tc>
          <w:tcPr>
            <w:tcW w:w="1165" w:type="dxa"/>
          </w:tcPr>
          <w:p w:rsidR="00E67FCF" w:rsidRPr="00FB4094" w:rsidRDefault="00E67FCF" w:rsidP="00615ADC">
            <w:pPr>
              <w:jc w:val="center"/>
              <w:rPr>
                <w:rFonts w:ascii="Calibri" w:eastAsiaTheme="minorEastAsia" w:hAnsi="Calibri" w:cs="Calibri"/>
              </w:rPr>
            </w:pPr>
            <w:r>
              <w:rPr>
                <w:rFonts w:ascii="Calibri" w:eastAsiaTheme="minorEastAsia" w:hAnsi="Calibri" w:cs="Calibri"/>
              </w:rPr>
              <w:t>4</w:t>
            </w:r>
          </w:p>
        </w:tc>
        <w:tc>
          <w:tcPr>
            <w:tcW w:w="4230" w:type="dxa"/>
          </w:tcPr>
          <w:p w:rsidR="00E67FCF" w:rsidRPr="00FB4094" w:rsidRDefault="00E67FCF" w:rsidP="00615ADC">
            <w:pPr>
              <w:rPr>
                <w:b/>
              </w:rPr>
            </w:pPr>
            <w:r>
              <w:t>Basic financial statements and auditor reports required to be submitted electronically</w:t>
            </w:r>
          </w:p>
        </w:tc>
        <w:tc>
          <w:tcPr>
            <w:tcW w:w="3960" w:type="dxa"/>
          </w:tcPr>
          <w:p w:rsidR="00E67FCF" w:rsidRPr="00FB4094" w:rsidRDefault="00E67FCF" w:rsidP="00615ADC">
            <w:pPr>
              <w:rPr>
                <w:b/>
              </w:rPr>
            </w:pPr>
            <w:r>
              <w:t>Basic financial statements (inclusive of auditor reports)</w:t>
            </w:r>
          </w:p>
        </w:tc>
      </w:tr>
    </w:tbl>
    <w:p w:rsidR="00E67FCF" w:rsidRPr="00E67FCF" w:rsidRDefault="00E67FCF" w:rsidP="00E67FCF">
      <w:pPr>
        <w:spacing w:after="0"/>
        <w:rPr>
          <w:b/>
        </w:rPr>
      </w:pPr>
    </w:p>
    <w:p w:rsidR="00E67FCF" w:rsidRPr="00E67FCF" w:rsidRDefault="00E67FCF" w:rsidP="00E67FCF">
      <w:pPr>
        <w:spacing w:after="0"/>
        <w:rPr>
          <w:b/>
        </w:rPr>
      </w:pPr>
    </w:p>
    <w:p w:rsidR="00E67FCF" w:rsidRPr="00E67FCF" w:rsidRDefault="00E67FCF" w:rsidP="00E67FCF">
      <w:pPr>
        <w:pStyle w:val="ListParagraph"/>
        <w:numPr>
          <w:ilvl w:val="0"/>
          <w:numId w:val="3"/>
        </w:numPr>
        <w:autoSpaceDE w:val="0"/>
        <w:autoSpaceDN w:val="0"/>
        <w:adjustRightInd w:val="0"/>
        <w:spacing w:after="0" w:line="240" w:lineRule="auto"/>
        <w:rPr>
          <w:rFonts w:eastAsia="Swiss721BT-Bold" w:cs="Swiss721BT-Bold"/>
          <w:b/>
          <w:bCs/>
        </w:rPr>
      </w:pPr>
      <w:r w:rsidRPr="00E67FCF">
        <w:rPr>
          <w:rFonts w:eastAsia="Swiss721BT-Roman" w:cs="Swiss721BT-Roman"/>
        </w:rPr>
        <w:t>We have disclosed to you all information of which we are aware that may contradict the completeness or accuracy of the electronic submission and related hard copy documents, and we have disclosed to you all communications from regulatory agencies affecting the electronic submission and related hard copy documents.</w:t>
      </w:r>
    </w:p>
    <w:p w:rsidR="00E67FCF" w:rsidRPr="00E67FCF" w:rsidRDefault="00E67FCF" w:rsidP="00E67FCF">
      <w:pPr>
        <w:pStyle w:val="ListParagraph"/>
        <w:numPr>
          <w:ilvl w:val="0"/>
          <w:numId w:val="3"/>
        </w:numPr>
        <w:autoSpaceDE w:val="0"/>
        <w:autoSpaceDN w:val="0"/>
        <w:adjustRightInd w:val="0"/>
        <w:spacing w:after="0" w:line="240" w:lineRule="auto"/>
        <w:rPr>
          <w:rFonts w:eastAsia="Swiss721BT-Roman" w:cs="Swiss721BT-Roman"/>
        </w:rPr>
      </w:pPr>
      <w:r w:rsidRPr="00E67FCF">
        <w:rPr>
          <w:rFonts w:eastAsia="Swiss721BT-Roman" w:cs="Swiss721BT-Roman"/>
        </w:rPr>
        <w:t>We have made available to you all information that we believe is relevant to the electronic submission and related hard copy documents.</w:t>
      </w:r>
    </w:p>
    <w:p w:rsidR="00E67FCF" w:rsidRPr="00E67FCF" w:rsidRDefault="00E67FCF" w:rsidP="00E67FCF">
      <w:pPr>
        <w:pStyle w:val="ListParagraph"/>
        <w:numPr>
          <w:ilvl w:val="0"/>
          <w:numId w:val="3"/>
        </w:numPr>
        <w:autoSpaceDE w:val="0"/>
        <w:autoSpaceDN w:val="0"/>
        <w:adjustRightInd w:val="0"/>
        <w:spacing w:after="0" w:line="240" w:lineRule="auto"/>
        <w:rPr>
          <w:rFonts w:eastAsia="Swiss721BT-Roman" w:cs="Swiss721BT-Roman"/>
        </w:rPr>
      </w:pPr>
      <w:r w:rsidRPr="00E67FCF">
        <w:rPr>
          <w:rFonts w:eastAsia="Swiss721BT-Roman" w:cs="Swiss721BT-Roman"/>
        </w:rPr>
        <w:t>We have responded fully to all inquiries made to us by you during the engagement.</w:t>
      </w:r>
    </w:p>
    <w:p w:rsidR="00E67FCF" w:rsidRPr="00E67FCF" w:rsidRDefault="00E67FCF" w:rsidP="00E67FCF">
      <w:pPr>
        <w:pStyle w:val="ListParagraph"/>
        <w:numPr>
          <w:ilvl w:val="0"/>
          <w:numId w:val="3"/>
        </w:numPr>
        <w:autoSpaceDE w:val="0"/>
        <w:autoSpaceDN w:val="0"/>
        <w:adjustRightInd w:val="0"/>
        <w:spacing w:after="0" w:line="240" w:lineRule="auto"/>
        <w:rPr>
          <w:b/>
        </w:rPr>
      </w:pPr>
      <w:r w:rsidRPr="00E67FCF">
        <w:rPr>
          <w:rFonts w:eastAsia="Swiss721BT-Roman" w:cs="Swiss721BT-Roman"/>
        </w:rPr>
        <w:t xml:space="preserve">No events have occurred subsequent to </w:t>
      </w:r>
      <w:r w:rsidRPr="00E67FCF">
        <w:rPr>
          <w:rFonts w:eastAsia="Swiss721BT-Roman" w:cs="Swiss721BT-Roman"/>
          <w:highlight w:val="yellow"/>
        </w:rPr>
        <w:t>Date of Subsequent Events</w:t>
      </w:r>
      <w:r w:rsidRPr="00E67FCF">
        <w:rPr>
          <w:rFonts w:eastAsia="Swiss721BT-Roman" w:cs="Swiss721BT-Roman"/>
        </w:rPr>
        <w:t xml:space="preserve"> that would require adjustment to or modification of the electronic submission or related hard copy documents.</w:t>
      </w:r>
    </w:p>
    <w:p w:rsidR="00E67FCF" w:rsidRDefault="00E67FCF" w:rsidP="00E67FCF">
      <w:pPr>
        <w:autoSpaceDE w:val="0"/>
        <w:autoSpaceDN w:val="0"/>
        <w:adjustRightInd w:val="0"/>
        <w:spacing w:after="0" w:line="240" w:lineRule="auto"/>
        <w:rPr>
          <w:b/>
        </w:rPr>
      </w:pPr>
    </w:p>
    <w:p w:rsidR="00E67FCF" w:rsidRDefault="00E67FCF" w:rsidP="00E67FCF">
      <w:pPr>
        <w:autoSpaceDE w:val="0"/>
        <w:autoSpaceDN w:val="0"/>
        <w:adjustRightInd w:val="0"/>
        <w:spacing w:after="0" w:line="240" w:lineRule="auto"/>
        <w:rPr>
          <w:b/>
        </w:rPr>
      </w:pPr>
    </w:p>
    <w:p w:rsidR="00E67FCF" w:rsidRDefault="00E67FCF" w:rsidP="00E67FCF">
      <w:pPr>
        <w:autoSpaceDE w:val="0"/>
        <w:autoSpaceDN w:val="0"/>
        <w:adjustRightInd w:val="0"/>
        <w:spacing w:after="0" w:line="240" w:lineRule="auto"/>
        <w:rPr>
          <w:b/>
        </w:rPr>
      </w:pPr>
      <w:r>
        <w:rPr>
          <w:b/>
        </w:rPr>
        <w:t>Signature</w:t>
      </w:r>
      <w:r>
        <w:rPr>
          <w:b/>
        </w:rPr>
        <w:tab/>
      </w:r>
      <w:r>
        <w:rPr>
          <w:b/>
        </w:rPr>
        <w:tab/>
      </w:r>
      <w:r>
        <w:rPr>
          <w:b/>
        </w:rPr>
        <w:tab/>
      </w:r>
      <w:r>
        <w:rPr>
          <w:b/>
        </w:rPr>
        <w:tab/>
      </w:r>
      <w:r>
        <w:rPr>
          <w:b/>
        </w:rPr>
        <w:tab/>
      </w:r>
      <w:r>
        <w:rPr>
          <w:b/>
        </w:rPr>
        <w:tab/>
        <w:t>Date</w:t>
      </w:r>
    </w:p>
    <w:p w:rsidR="00E67FCF" w:rsidRDefault="00E67FCF" w:rsidP="00E67FCF">
      <w:pPr>
        <w:autoSpaceDE w:val="0"/>
        <w:autoSpaceDN w:val="0"/>
        <w:adjustRightInd w:val="0"/>
        <w:spacing w:after="0" w:line="240" w:lineRule="auto"/>
        <w:rPr>
          <w:b/>
        </w:rPr>
      </w:pPr>
    </w:p>
    <w:p w:rsidR="00E67FCF" w:rsidRDefault="00E67FCF" w:rsidP="00E67FCF">
      <w:pPr>
        <w:autoSpaceDE w:val="0"/>
        <w:autoSpaceDN w:val="0"/>
        <w:adjustRightInd w:val="0"/>
        <w:spacing w:after="0" w:line="240" w:lineRule="auto"/>
        <w:rPr>
          <w:b/>
        </w:rPr>
      </w:pPr>
    </w:p>
    <w:p w:rsidR="00E67FCF" w:rsidRPr="00E67FCF" w:rsidRDefault="00E67FCF" w:rsidP="00E67FCF">
      <w:pPr>
        <w:autoSpaceDE w:val="0"/>
        <w:autoSpaceDN w:val="0"/>
        <w:adjustRightInd w:val="0"/>
        <w:spacing w:after="0" w:line="240" w:lineRule="auto"/>
        <w:rPr>
          <w:b/>
        </w:rPr>
      </w:pPr>
      <w:r>
        <w:rPr>
          <w:b/>
        </w:rPr>
        <w:t>Signature</w:t>
      </w:r>
      <w:r>
        <w:rPr>
          <w:b/>
        </w:rPr>
        <w:tab/>
      </w:r>
      <w:r>
        <w:rPr>
          <w:b/>
        </w:rPr>
        <w:tab/>
      </w:r>
      <w:r>
        <w:rPr>
          <w:b/>
        </w:rPr>
        <w:tab/>
      </w:r>
      <w:r>
        <w:rPr>
          <w:b/>
        </w:rPr>
        <w:tab/>
      </w:r>
      <w:r>
        <w:rPr>
          <w:b/>
        </w:rPr>
        <w:tab/>
      </w:r>
      <w:r>
        <w:rPr>
          <w:b/>
        </w:rPr>
        <w:tab/>
        <w:t>Date</w:t>
      </w:r>
    </w:p>
    <w:p w:rsidR="00E67FCF" w:rsidRPr="00E67FCF" w:rsidRDefault="00E67FCF" w:rsidP="00E67FCF">
      <w:pPr>
        <w:autoSpaceDE w:val="0"/>
        <w:autoSpaceDN w:val="0"/>
        <w:adjustRightInd w:val="0"/>
        <w:spacing w:after="0" w:line="240" w:lineRule="auto"/>
        <w:ind w:left="720"/>
      </w:pPr>
    </w:p>
    <w:sectPr w:rsidR="00E67FCF" w:rsidRPr="00E6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Roman">
    <w:altName w:val="MS Gothic"/>
    <w:panose1 w:val="00000000000000000000"/>
    <w:charset w:val="80"/>
    <w:family w:val="auto"/>
    <w:notTrueType/>
    <w:pitch w:val="default"/>
    <w:sig w:usb0="00000001" w:usb1="08070000" w:usb2="00000010" w:usb3="00000000" w:csb0="00020000" w:csb1="00000000"/>
  </w:font>
  <w:font w:name="Swiss721BT-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220"/>
    <w:multiLevelType w:val="hybridMultilevel"/>
    <w:tmpl w:val="F576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0446"/>
    <w:multiLevelType w:val="hybridMultilevel"/>
    <w:tmpl w:val="274C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759DD"/>
    <w:multiLevelType w:val="hybridMultilevel"/>
    <w:tmpl w:val="6F5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F5D2A"/>
    <w:multiLevelType w:val="hybridMultilevel"/>
    <w:tmpl w:val="CAEA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CF"/>
    <w:rsid w:val="00160DF3"/>
    <w:rsid w:val="00C63A8C"/>
    <w:rsid w:val="00E6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D2156-3598-4B1F-B007-B2B5BEE2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CF"/>
    <w:pPr>
      <w:ind w:left="720"/>
      <w:contextualSpacing/>
    </w:pPr>
  </w:style>
  <w:style w:type="table" w:styleId="TableGrid">
    <w:name w:val="Table Grid"/>
    <w:basedOn w:val="TableNormal"/>
    <w:uiPriority w:val="39"/>
    <w:rsid w:val="00E6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Sparks</dc:creator>
  <cp:keywords/>
  <dc:description/>
  <cp:lastModifiedBy>Kathy Christensen</cp:lastModifiedBy>
  <cp:revision>2</cp:revision>
  <dcterms:created xsi:type="dcterms:W3CDTF">2016-03-16T17:23:00Z</dcterms:created>
  <dcterms:modified xsi:type="dcterms:W3CDTF">2016-03-16T17:23:00Z</dcterms:modified>
</cp:coreProperties>
</file>