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147" w:rsidRPr="001B21BC" w:rsidRDefault="00571147" w:rsidP="00571147">
      <w:pPr>
        <w:tabs>
          <w:tab w:val="right" w:pos="8640"/>
        </w:tabs>
      </w:pPr>
      <w:r w:rsidRPr="001B21BC">
        <w:rPr>
          <w:vanish/>
        </w:rPr>
        <w:t xml:space="preserve"> </w:t>
      </w:r>
      <w:r w:rsidRPr="001B21BC">
        <w:rPr>
          <w:vanish/>
        </w:rPr>
        <w:tab/>
        <w:t xml:space="preserve"> </w:t>
      </w:r>
    </w:p>
    <w:p w:rsidR="00571147" w:rsidRPr="001B21BC" w:rsidRDefault="00FC02A9" w:rsidP="007F41A0">
      <w:pPr>
        <w:spacing w:after="0"/>
        <w:jc w:val="center"/>
      </w:pPr>
      <w:r w:rsidRPr="001B21BC">
        <w:t>Profit Motivated</w:t>
      </w:r>
    </w:p>
    <w:p w:rsidR="00477DF4" w:rsidRPr="001B21BC" w:rsidRDefault="00A35443" w:rsidP="00633BD3">
      <w:pPr>
        <w:spacing w:after="0"/>
        <w:jc w:val="center"/>
      </w:pPr>
      <w:r w:rsidRPr="001B21BC">
        <w:rPr>
          <w:rFonts w:ascii="Calibri" w:eastAsiaTheme="minorEastAsia" w:hAnsi="Calibri" w:cs="Calibri"/>
          <w:b/>
          <w:bCs/>
        </w:rPr>
        <w:t>AGREED-UPON PROCEDURES ENGAGEMENT LETTER</w:t>
      </w:r>
    </w:p>
    <w:p w:rsidR="00477DF4" w:rsidRPr="001B21BC" w:rsidRDefault="00477DF4" w:rsidP="00477DF4">
      <w:pPr>
        <w:spacing w:after="0"/>
        <w:jc w:val="center"/>
      </w:pPr>
    </w:p>
    <w:p w:rsidR="00326697" w:rsidRPr="001B21BC" w:rsidRDefault="00326697" w:rsidP="002C275D">
      <w:pPr>
        <w:spacing w:after="0"/>
        <w:jc w:val="center"/>
        <w:rPr>
          <w:b/>
        </w:rPr>
      </w:pPr>
    </w:p>
    <w:p w:rsidR="007F41A0" w:rsidRPr="001B21BC" w:rsidRDefault="00B165B0" w:rsidP="007F41A0">
      <w:pPr>
        <w:spacing w:after="0"/>
      </w:pPr>
      <w:r w:rsidRPr="001B21BC">
        <w:t>[DATE]</w:t>
      </w:r>
    </w:p>
    <w:p w:rsidR="00B165B0" w:rsidRPr="001B21BC" w:rsidRDefault="00B165B0" w:rsidP="007F41A0">
      <w:pPr>
        <w:spacing w:after="0"/>
      </w:pPr>
    </w:p>
    <w:p w:rsidR="009F3637" w:rsidRPr="001B21BC" w:rsidRDefault="00A35443" w:rsidP="009311CC">
      <w:pPr>
        <w:spacing w:after="0"/>
      </w:pPr>
      <w:bookmarkStart w:id="0" w:name="OLE_LINK1"/>
      <w:bookmarkStart w:id="1" w:name="OLE_LINK2"/>
      <w:r w:rsidRPr="001B21BC">
        <w:rPr>
          <w:rFonts w:ascii="Calibri" w:eastAsiaTheme="minorEastAsia" w:hAnsi="Calibri" w:cs="Calibri"/>
        </w:rPr>
        <w:t>[PROJECT NAME]</w:t>
      </w:r>
    </w:p>
    <w:bookmarkEnd w:id="0"/>
    <w:bookmarkEnd w:id="1"/>
    <w:p w:rsidR="00504DA7" w:rsidRPr="001B21BC" w:rsidRDefault="00A35443" w:rsidP="00504DA7">
      <w:pPr>
        <w:spacing w:after="0"/>
      </w:pPr>
      <w:r w:rsidRPr="001B21BC">
        <w:rPr>
          <w:rFonts w:ascii="Calibri" w:eastAsiaTheme="minorEastAsia" w:hAnsi="Calibri" w:cs="Calibri"/>
        </w:rPr>
        <w:t>[PROJECT ADDRESS]</w:t>
      </w:r>
    </w:p>
    <w:p w:rsidR="00504DA7" w:rsidRPr="001B21BC" w:rsidRDefault="00A35443" w:rsidP="00504DA7">
      <w:pPr>
        <w:spacing w:after="0"/>
      </w:pPr>
      <w:r w:rsidRPr="001B21BC">
        <w:rPr>
          <w:rFonts w:ascii="Calibri" w:eastAsiaTheme="minorEastAsia" w:hAnsi="Calibri" w:cs="Calibri"/>
        </w:rPr>
        <w:t>[PROJECT CITY, STATE, ZIP]</w:t>
      </w:r>
    </w:p>
    <w:p w:rsidR="00DB0C08" w:rsidRPr="001B21BC" w:rsidRDefault="00DB0C08" w:rsidP="00504DA7">
      <w:pPr>
        <w:spacing w:after="0"/>
        <w:rPr>
          <w:b/>
        </w:rPr>
      </w:pPr>
    </w:p>
    <w:p w:rsidR="00DB0C08" w:rsidRPr="001B21BC" w:rsidRDefault="00A35443" w:rsidP="00DB0C08">
      <w:pPr>
        <w:spacing w:after="0"/>
      </w:pPr>
      <w:r w:rsidRPr="001B21BC">
        <w:rPr>
          <w:rFonts w:ascii="Calibri" w:eastAsiaTheme="minorEastAsia" w:hAnsi="Calibri" w:cs="Calibri"/>
        </w:rPr>
        <w:t>We are pleased to confirm our understanding of the services we are to provide for [PROJECT].</w:t>
      </w:r>
    </w:p>
    <w:p w:rsidR="00504DA7" w:rsidRPr="001B21BC" w:rsidRDefault="00504DA7" w:rsidP="00504DA7">
      <w:pPr>
        <w:spacing w:after="0"/>
      </w:pPr>
    </w:p>
    <w:p w:rsidR="00504DA7" w:rsidRPr="001B21BC" w:rsidRDefault="00A35443" w:rsidP="00504DA7">
      <w:pPr>
        <w:spacing w:after="0"/>
      </w:pPr>
      <w:r w:rsidRPr="001B21BC">
        <w:rPr>
          <w:rFonts w:ascii="Calibri" w:eastAsiaTheme="minorEastAsia" w:hAnsi="Calibri" w:cs="Calibri"/>
        </w:rPr>
        <w:t>We will apply the agreed-upon procedure which the U.S. Department of Housing and Urban Development, Real Estate Assessment Center (REAC), has specified and listed in Attachment 1, to the electronic submission and related hard copy documents listed in the attached schedule of [PROJECT] as of and for the year ended [DATE].  This engagement is solely to assist [PROJECT] and the U.S. Department of Housing and Urban Development, REAC, in determining whether electronic submission of certain information agrees with the related hard copy documents. Our engagement to apply the agreed-upon procedure will be performed in accordance with attestation standards established by the American Institute of Certified Public Accountants and the standards applicable to attestation engagements contained in Government Auditing Standards issued by the Comptroller General of the United States.  The sufficiency of the procedure is solely the responsibility of those parties specified in the report.  Consequently, we make no representation regarding the sufficiency of the procedure described in the attached schedule either for the purpose for which this report has been requested or for any other purpose. If, for any reason, we are unable to complete the procedure, we will describe any restrictions on the performance of the procedure in our report, or we will not issue a report as a result of this engagement.</w:t>
      </w:r>
    </w:p>
    <w:p w:rsidR="00DB0C08" w:rsidRPr="001B21BC" w:rsidRDefault="00DB0C08" w:rsidP="00504DA7">
      <w:pPr>
        <w:spacing w:after="0"/>
      </w:pPr>
    </w:p>
    <w:p w:rsidR="00504DA7" w:rsidRPr="001B21BC" w:rsidRDefault="00A35443" w:rsidP="00504DA7">
      <w:pPr>
        <w:spacing w:after="0"/>
      </w:pPr>
      <w:r w:rsidRPr="001B21BC">
        <w:rPr>
          <w:rFonts w:ascii="Calibri" w:eastAsiaTheme="minorEastAsia" w:hAnsi="Calibri" w:cs="Calibri"/>
        </w:rPr>
        <w:t>We will submit a report listing the procedure performed and our findings. This report is intended solely for the use of [PROJECT] and the U.S. Department of Housing and Urban Development, REAC, and is not intended to be and should not be used by anyone other than these specified parties.</w:t>
      </w:r>
    </w:p>
    <w:p w:rsidR="00D27F53" w:rsidRPr="001B21BC" w:rsidRDefault="00D27F53" w:rsidP="00504DA7">
      <w:pPr>
        <w:spacing w:after="0"/>
      </w:pPr>
    </w:p>
    <w:p w:rsidR="00504DA7" w:rsidRPr="001B21BC" w:rsidRDefault="00A35443" w:rsidP="00504DA7">
      <w:pPr>
        <w:spacing w:after="0"/>
      </w:pPr>
      <w:r w:rsidRPr="001B21BC">
        <w:rPr>
          <w:rFonts w:ascii="Calibri" w:eastAsiaTheme="minorEastAsia" w:hAnsi="Calibri" w:cs="Calibri"/>
        </w:rPr>
        <w:t>Our report will include a statement indicating that we have not performed any additional auditing procedures after the date of our reports on the audited financial statements and supplemental information, including a statement indicating that had we performed additional procedures, other matters might have come to our attention that would have been reported to you. Further, we take no responsibility for the security of the information transmitted electronically to the U.S. Department of Housing and Urban Development, REAC.</w:t>
      </w:r>
    </w:p>
    <w:p w:rsidR="00D27F53" w:rsidRPr="001B21BC" w:rsidRDefault="00D27F53" w:rsidP="00504DA7">
      <w:pPr>
        <w:spacing w:after="0"/>
      </w:pPr>
    </w:p>
    <w:p w:rsidR="006B3B5D" w:rsidRPr="001B21BC" w:rsidRDefault="00A35443" w:rsidP="006B3B5D">
      <w:pPr>
        <w:spacing w:after="0"/>
      </w:pPr>
      <w:r w:rsidRPr="001B21BC">
        <w:rPr>
          <w:rFonts w:ascii="Calibri" w:eastAsiaTheme="minorEastAsia" w:hAnsi="Calibri" w:cs="Calibri"/>
        </w:rPr>
        <w:t xml:space="preserve">You are responsible for establishing and maintaining effective internal controls, including internal controls over federal awards, and for evaluating and monitoring ongoing activities to help ensure that appropriate goals and objectives are met; following laws and regulations; and ensuring that there is reasonable assurance that government programs are administered in compliance with compliance requirements. Management is also responsible for implementing systems designed to achieve compliance with applicable laws, regulation, contracts, and grant agreements.  You are also responsible for the presentation of the electronic submission and related hard copy documents listed in the attached schedule of [PROJECT] as of and for the year ended [DATE] in accordance with the agreed-upon procedure which the U.S. Department of Housing and Urban Development, </w:t>
      </w:r>
      <w:r w:rsidRPr="001B21BC">
        <w:rPr>
          <w:rFonts w:ascii="Calibri" w:eastAsiaTheme="minorEastAsia" w:hAnsi="Calibri" w:cs="Calibri"/>
        </w:rPr>
        <w:lastRenderedPageBreak/>
        <w:t xml:space="preserve">REAC, has specified, listed in the attached schedule; and for selecting the criteria and determining that such criteria are appropriate for your purposes. </w:t>
      </w:r>
    </w:p>
    <w:p w:rsidR="006B3B5D" w:rsidRPr="001B21BC" w:rsidRDefault="006B3B5D" w:rsidP="006B3B5D">
      <w:pPr>
        <w:spacing w:after="0"/>
      </w:pPr>
    </w:p>
    <w:p w:rsidR="003D1A0D" w:rsidRPr="001B21BC" w:rsidRDefault="00A35443" w:rsidP="003D1A0D">
      <w:pPr>
        <w:spacing w:after="0"/>
      </w:pPr>
      <w:r w:rsidRPr="001B21BC">
        <w:rPr>
          <w:rFonts w:ascii="Calibri" w:eastAsiaTheme="minorEastAsia" w:hAnsi="Calibri" w:cs="Calibri"/>
        </w:rPr>
        <w:t>You agree to assume all management responsibilities relating to the nonattest services we provide.  Further, you agree to oversee the nonattest services by designating an individual, preferable from senior management, with suitable skill, knowledge, or experience; evaluate the adequacy and results of those services; and accept responsibility for them.</w:t>
      </w:r>
    </w:p>
    <w:p w:rsidR="003D1A0D" w:rsidRPr="001B21BC" w:rsidRDefault="003D1A0D" w:rsidP="003D1A0D">
      <w:pPr>
        <w:spacing w:after="0"/>
      </w:pPr>
    </w:p>
    <w:p w:rsidR="006B3B5D" w:rsidRPr="001B21BC" w:rsidRDefault="00A35443" w:rsidP="006B3B5D">
      <w:pPr>
        <w:spacing w:after="0"/>
      </w:pPr>
      <w:r w:rsidRPr="001B21BC">
        <w:rPr>
          <w:rFonts w:ascii="Calibri" w:eastAsiaTheme="minorEastAsia" w:hAnsi="Calibri" w:cs="Calibri"/>
        </w:rPr>
        <w:t>You agree to retain a copy of the financial statement package in its entirety.</w:t>
      </w:r>
    </w:p>
    <w:p w:rsidR="003D1A0D" w:rsidRPr="001B21BC" w:rsidRDefault="003D1A0D" w:rsidP="003D1A0D">
      <w:pPr>
        <w:spacing w:after="0"/>
      </w:pPr>
    </w:p>
    <w:p w:rsidR="006B3B5D" w:rsidRPr="001B21BC" w:rsidRDefault="00A35443" w:rsidP="006B3B5D">
      <w:pPr>
        <w:spacing w:after="0"/>
      </w:pPr>
      <w:r w:rsidRPr="001B21BC">
        <w:rPr>
          <w:rFonts w:ascii="Calibri" w:eastAsiaTheme="minorEastAsia" w:hAnsi="Calibri" w:cs="Calibri"/>
        </w:rPr>
        <w:t>The attest documentation for this engagement is the property of [FIRM NAME] and constitutes confidential information. However, we may be requested to make certain attest documentation available to the Secretary of Housing and Urban Development or designee, the HUD Inspector General, or the U.S. Government Accountability Office or their representatives, pursuant to authority given to them by law or regulation. We will notify you of any such request. If requested, access to such attest documentation will be provided under the supervision of [FIRM NAME]’s personnel. Furthermore, upon request, we may provide copies of selected attest documentation to HUD or the Government Accountability Office representatives. HUD and the Government Accountability Office may decide to distribute the copies or information contained therein to others, including other governmental agencies.</w:t>
      </w:r>
    </w:p>
    <w:p w:rsidR="00D27F53" w:rsidRPr="001B21BC" w:rsidRDefault="00D27F53" w:rsidP="00D27F53">
      <w:pPr>
        <w:spacing w:after="0"/>
      </w:pPr>
    </w:p>
    <w:p w:rsidR="00D27F53" w:rsidRPr="001B21BC" w:rsidRDefault="00A35443" w:rsidP="00D27F53">
      <w:pPr>
        <w:spacing w:after="0"/>
      </w:pPr>
      <w:r w:rsidRPr="001B21BC">
        <w:rPr>
          <w:rFonts w:ascii="Calibri" w:eastAsiaTheme="minorEastAsia" w:hAnsi="Calibri" w:cs="Calibri"/>
        </w:rPr>
        <w:t>[ENGAGEMENT PARTNER] is the engagement partner and is responsible for supervising the engagement and signing the report or authorizing another individual to sign it. We plan to begin the engagement on approximately [DATE] and, unless unforeseeable problems are encountered, the engagement should be completed by [DATE]. At the conclusion of our engagement, we will require a representation letter from management that, among other things, will confirm management’s responsibility for the presentation of the electronic submission and the financial statements and supplemental information.</w:t>
      </w:r>
    </w:p>
    <w:p w:rsidR="00D27F53" w:rsidRPr="001B21BC" w:rsidRDefault="00D27F53" w:rsidP="00D27F53">
      <w:pPr>
        <w:spacing w:after="0"/>
      </w:pPr>
    </w:p>
    <w:p w:rsidR="003D1A0D" w:rsidRPr="001B21BC" w:rsidRDefault="00A35443" w:rsidP="003D1A0D">
      <w:pPr>
        <w:spacing w:after="0"/>
      </w:pPr>
      <w:r w:rsidRPr="001B21BC">
        <w:rPr>
          <w:rFonts w:ascii="Calibri" w:eastAsiaTheme="minorEastAsia" w:hAnsi="Calibri" w:cs="Calibri"/>
        </w:rPr>
        <w:t xml:space="preserve">Our fees for these services will be based on the actual time spent at our standard hourly rates, plus travel and other out-of-pocket costs such as report production, word processing, postage, etc.  Our standard hourly rates vary according to the degree of responsibility involved and the experience level of the personnel assigned to your audit. Our invoices for these fees are payable upon presentation. In accordance with our firm policies, work may be suspended if your account becomes [XX] days or more overdue and will not be resumed until your account is paid in full.  If we elect to terminate our services for nonpayment, our engagement will be deemed to have been completed even if we have not completed our report. You will be obligated to compensate us for all time expended and to reimburse us for all out-of-pocket expenditures through the date of termination. Based on our preliminary estimates, the fee should approximate [$X,XXX]. That estimate is based on anticipated cooperation from your personnel and the assumption that unexpected circumstances will not be encountered during the engagement. If significant additional time is necessary, we will discuss it with you and arrive at a new fee estimate before we incur the additional costs.  </w:t>
      </w:r>
    </w:p>
    <w:p w:rsidR="003D1A0D" w:rsidRPr="001B21BC" w:rsidRDefault="003D1A0D" w:rsidP="003D1A0D">
      <w:pPr>
        <w:spacing w:after="0"/>
      </w:pPr>
    </w:p>
    <w:p w:rsidR="003D1A0D" w:rsidRPr="001B21BC" w:rsidRDefault="00A35443" w:rsidP="003D1A0D">
      <w:pPr>
        <w:spacing w:after="0"/>
      </w:pPr>
      <w:r w:rsidRPr="001B21BC">
        <w:rPr>
          <w:rFonts w:ascii="Calibri" w:eastAsiaTheme="minorEastAsia" w:hAnsi="Calibri" w:cs="Calibri"/>
        </w:rPr>
        <w:t>We appreciate the opportunity to be of service to [PROJECT] and believe this letter accurately summarizes the significant terms of our engagement. If you have any questions, please let us know. If you agree with the terms of our engagement as described in this letter, please sign the enclosed copy and return it to us. If the need for additional procedures arises, our agreement with you will need to be revised. It is customary for us to enumerate these revisions in an addendum to this letter. If additional specified users of the report are added, we will require that they acknowledge in writing their responsibility for the sufficiency of the procedure.</w:t>
      </w:r>
    </w:p>
    <w:p w:rsidR="003D1A0D" w:rsidRPr="001B21BC" w:rsidRDefault="003D1A0D" w:rsidP="003D1A0D">
      <w:pPr>
        <w:spacing w:after="0"/>
      </w:pPr>
    </w:p>
    <w:p w:rsidR="003D1A0D" w:rsidRPr="001B21BC" w:rsidRDefault="00A35443" w:rsidP="003D1A0D">
      <w:pPr>
        <w:spacing w:after="0"/>
      </w:pPr>
      <w:r w:rsidRPr="001B21BC">
        <w:rPr>
          <w:rFonts w:ascii="Calibri" w:eastAsiaTheme="minorEastAsia" w:hAnsi="Calibri" w:cs="Calibri"/>
        </w:rPr>
        <w:t xml:space="preserve">Very Truly Yours, </w:t>
      </w:r>
    </w:p>
    <w:p w:rsidR="003D1A0D" w:rsidRPr="001B21BC" w:rsidRDefault="003D1A0D" w:rsidP="003D1A0D">
      <w:pPr>
        <w:spacing w:after="0"/>
      </w:pPr>
    </w:p>
    <w:p w:rsidR="003D1A0D" w:rsidRPr="001B21BC" w:rsidRDefault="00A35443" w:rsidP="003D1A0D">
      <w:pPr>
        <w:spacing w:after="0"/>
      </w:pPr>
      <w:r w:rsidRPr="001B21BC">
        <w:rPr>
          <w:rFonts w:ascii="Calibri" w:eastAsiaTheme="minorEastAsia" w:hAnsi="Calibri" w:cs="Calibri"/>
        </w:rPr>
        <w:t>[Firm Name]</w:t>
      </w:r>
    </w:p>
    <w:p w:rsidR="003D1A0D" w:rsidRPr="001B21BC" w:rsidRDefault="003D1A0D" w:rsidP="003D1A0D">
      <w:pPr>
        <w:spacing w:after="0"/>
      </w:pPr>
    </w:p>
    <w:p w:rsidR="003D1A0D" w:rsidRPr="001B21BC" w:rsidRDefault="00A35443" w:rsidP="003D1A0D">
      <w:pPr>
        <w:spacing w:after="0"/>
      </w:pPr>
      <w:r w:rsidRPr="001B21BC">
        <w:rPr>
          <w:rFonts w:ascii="Calibri" w:eastAsiaTheme="minorEastAsia" w:hAnsi="Calibri" w:cs="Calibri"/>
        </w:rPr>
        <w:t>RESPONSE:</w:t>
      </w:r>
    </w:p>
    <w:p w:rsidR="003D1A0D" w:rsidRPr="001B21BC" w:rsidRDefault="003D1A0D" w:rsidP="003D1A0D">
      <w:pPr>
        <w:spacing w:after="0"/>
      </w:pPr>
    </w:p>
    <w:p w:rsidR="003D1A0D" w:rsidRPr="001B21BC" w:rsidRDefault="00A35443" w:rsidP="003D1A0D">
      <w:pPr>
        <w:spacing w:after="0"/>
      </w:pPr>
      <w:r w:rsidRPr="001B21BC">
        <w:rPr>
          <w:rFonts w:ascii="Calibri" w:eastAsiaTheme="minorEastAsia" w:hAnsi="Calibri" w:cs="Calibri"/>
        </w:rPr>
        <w:t>This letter correctly sets forth the understanding of [PROJECT]</w:t>
      </w:r>
      <w:r w:rsidR="00090307" w:rsidRPr="001B21BC">
        <w:t>.</w:t>
      </w:r>
    </w:p>
    <w:p w:rsidR="00090307" w:rsidRPr="001B21BC" w:rsidRDefault="00090307"/>
    <w:p w:rsidR="00090307" w:rsidRPr="001B21BC" w:rsidRDefault="00090307" w:rsidP="00090307">
      <w:pPr>
        <w:spacing w:after="0"/>
      </w:pPr>
      <w:r w:rsidRPr="001B21BC">
        <w:t xml:space="preserve">Signature:  </w:t>
      </w:r>
    </w:p>
    <w:p w:rsidR="00090307" w:rsidRPr="001B21BC" w:rsidRDefault="00090307" w:rsidP="00090307">
      <w:pPr>
        <w:spacing w:after="0"/>
      </w:pPr>
    </w:p>
    <w:p w:rsidR="00090307" w:rsidRPr="001B21BC" w:rsidRDefault="00090307" w:rsidP="00090307">
      <w:pPr>
        <w:spacing w:after="0"/>
      </w:pPr>
      <w:r w:rsidRPr="001B21BC">
        <w:t xml:space="preserve">Title:  </w:t>
      </w:r>
    </w:p>
    <w:p w:rsidR="00090307" w:rsidRPr="001B21BC" w:rsidRDefault="00090307" w:rsidP="00090307">
      <w:pPr>
        <w:spacing w:after="0"/>
      </w:pPr>
    </w:p>
    <w:p w:rsidR="00090307" w:rsidRPr="001B21BC" w:rsidRDefault="00090307" w:rsidP="00090307">
      <w:pPr>
        <w:spacing w:after="0"/>
      </w:pPr>
      <w:r w:rsidRPr="001B21BC">
        <w:t>Date:</w:t>
      </w:r>
    </w:p>
    <w:p w:rsidR="007C4533" w:rsidRPr="001B21BC" w:rsidRDefault="007C4533">
      <w:r w:rsidRPr="001B21BC">
        <w:br w:type="page"/>
      </w:r>
    </w:p>
    <w:p w:rsidR="006B3B5D" w:rsidRPr="001B21BC" w:rsidRDefault="00FB235F" w:rsidP="007C4533">
      <w:pPr>
        <w:spacing w:after="0"/>
        <w:rPr>
          <w:b/>
        </w:rPr>
      </w:pPr>
      <w:r w:rsidRPr="001B21BC">
        <w:rPr>
          <w:b/>
        </w:rPr>
        <w:lastRenderedPageBreak/>
        <w:t xml:space="preserve">ATTACHMENT </w:t>
      </w:r>
      <w:r w:rsidR="001547D5" w:rsidRPr="001B21BC">
        <w:rPr>
          <w:b/>
        </w:rPr>
        <w:t xml:space="preserve">1 </w:t>
      </w:r>
    </w:p>
    <w:p w:rsidR="001547D5" w:rsidRPr="001B21BC" w:rsidRDefault="001547D5" w:rsidP="007C4533">
      <w:pPr>
        <w:spacing w:after="0"/>
        <w:rPr>
          <w:b/>
        </w:rPr>
      </w:pPr>
    </w:p>
    <w:p w:rsidR="00986A2A" w:rsidRPr="001B21BC" w:rsidRDefault="001547D5" w:rsidP="00986A2A">
      <w:pPr>
        <w:spacing w:after="0"/>
      </w:pPr>
      <w:r w:rsidRPr="001B21BC">
        <w:t>Compare the electronic submission of the items listed in the “UFRS Rule Information” column with the corresponding printed documents listed in the “Hard Copy Documents” column as shown in the chart below.</w:t>
      </w:r>
    </w:p>
    <w:p w:rsidR="001547D5" w:rsidRPr="001B21BC" w:rsidRDefault="001547D5" w:rsidP="00986A2A">
      <w:pPr>
        <w:spacing w:after="0"/>
        <w:rPr>
          <w:b/>
        </w:rPr>
      </w:pPr>
    </w:p>
    <w:tbl>
      <w:tblPr>
        <w:tblStyle w:val="TableGrid"/>
        <w:tblW w:w="8563" w:type="dxa"/>
        <w:jc w:val="center"/>
        <w:tblLook w:val="04A0" w:firstRow="1" w:lastRow="0" w:firstColumn="1" w:lastColumn="0" w:noHBand="0" w:noVBand="1"/>
      </w:tblPr>
      <w:tblGrid>
        <w:gridCol w:w="4281"/>
        <w:gridCol w:w="4282"/>
      </w:tblGrid>
      <w:tr w:rsidR="001B21BC" w:rsidRPr="001B21BC" w:rsidTr="008217F8">
        <w:trPr>
          <w:jc w:val="center"/>
        </w:trPr>
        <w:tc>
          <w:tcPr>
            <w:tcW w:w="4281" w:type="dxa"/>
          </w:tcPr>
          <w:p w:rsidR="008217F8" w:rsidRPr="001B21BC" w:rsidRDefault="00A35443" w:rsidP="00A0567E">
            <w:pPr>
              <w:rPr>
                <w:b/>
              </w:rPr>
            </w:pPr>
            <w:r w:rsidRPr="001B21BC">
              <w:rPr>
                <w:rFonts w:ascii="Calibri" w:eastAsiaTheme="minorEastAsia" w:hAnsi="Calibri" w:cs="Calibri"/>
                <w:b/>
              </w:rPr>
              <w:t>UFRS Rule Information</w:t>
            </w:r>
          </w:p>
        </w:tc>
        <w:tc>
          <w:tcPr>
            <w:tcW w:w="4282" w:type="dxa"/>
          </w:tcPr>
          <w:p w:rsidR="008217F8" w:rsidRPr="001B21BC" w:rsidRDefault="00A35443" w:rsidP="00A0567E">
            <w:pPr>
              <w:rPr>
                <w:b/>
              </w:rPr>
            </w:pPr>
            <w:r w:rsidRPr="001B21BC">
              <w:rPr>
                <w:rFonts w:ascii="Calibri" w:eastAsiaTheme="minorEastAsia" w:hAnsi="Calibri" w:cs="Calibri"/>
                <w:b/>
              </w:rPr>
              <w:t>Hard Copy Document(s)</w:t>
            </w:r>
          </w:p>
        </w:tc>
      </w:tr>
      <w:tr w:rsidR="001B21BC" w:rsidRPr="001B21BC" w:rsidTr="008217F8">
        <w:trPr>
          <w:jc w:val="center"/>
        </w:trPr>
        <w:tc>
          <w:tcPr>
            <w:tcW w:w="4281" w:type="dxa"/>
          </w:tcPr>
          <w:p w:rsidR="008217F8" w:rsidRPr="001B21BC" w:rsidRDefault="00A35443" w:rsidP="00A0567E">
            <w:pPr>
              <w:rPr>
                <w:b/>
              </w:rPr>
            </w:pPr>
            <w:r w:rsidRPr="001B21BC">
              <w:rPr>
                <w:rFonts w:ascii="Calibri" w:eastAsiaTheme="minorEastAsia" w:hAnsi="Calibri" w:cs="Calibri"/>
              </w:rPr>
              <w:t>Balance Sheet, Revenue and Expense and Cash Flow data (account numbers 1120 to 7100T and the S1200 Series)</w:t>
            </w:r>
          </w:p>
        </w:tc>
        <w:tc>
          <w:tcPr>
            <w:tcW w:w="4282" w:type="dxa"/>
          </w:tcPr>
          <w:p w:rsidR="008217F8" w:rsidRPr="001B21BC" w:rsidRDefault="00A35443" w:rsidP="00A0567E">
            <w:pPr>
              <w:rPr>
                <w:b/>
              </w:rPr>
            </w:pPr>
            <w:r w:rsidRPr="001B21BC">
              <w:rPr>
                <w:rFonts w:ascii="Calibri" w:eastAsiaTheme="minorEastAsia" w:hAnsi="Calibri" w:cs="Calibri"/>
              </w:rPr>
              <w:t>Supplementary Schedules with Financial Statement Data</w:t>
            </w:r>
          </w:p>
        </w:tc>
      </w:tr>
      <w:tr w:rsidR="001B21BC" w:rsidRPr="001B21BC" w:rsidTr="008217F8">
        <w:trPr>
          <w:jc w:val="center"/>
        </w:trPr>
        <w:tc>
          <w:tcPr>
            <w:tcW w:w="4281" w:type="dxa"/>
          </w:tcPr>
          <w:p w:rsidR="008217F8" w:rsidRPr="001B21BC" w:rsidRDefault="00A35443" w:rsidP="00A0567E">
            <w:pPr>
              <w:rPr>
                <w:b/>
              </w:rPr>
            </w:pPr>
            <w:r w:rsidRPr="001B21BC">
              <w:rPr>
                <w:rFonts w:ascii="Calibri" w:eastAsiaTheme="minorEastAsia" w:hAnsi="Calibri" w:cs="Calibri"/>
              </w:rPr>
              <w:t>Surplus cash (S1300 series accounts)</w:t>
            </w:r>
          </w:p>
        </w:tc>
        <w:tc>
          <w:tcPr>
            <w:tcW w:w="4282" w:type="dxa"/>
          </w:tcPr>
          <w:p w:rsidR="008217F8" w:rsidRPr="001B21BC" w:rsidRDefault="00A35443" w:rsidP="00A0567E">
            <w:pPr>
              <w:rPr>
                <w:b/>
              </w:rPr>
            </w:pPr>
            <w:r w:rsidRPr="001B21BC">
              <w:rPr>
                <w:rFonts w:ascii="Calibri" w:eastAsiaTheme="minorEastAsia" w:hAnsi="Calibri" w:cs="Calibri"/>
              </w:rPr>
              <w:t>Computation of Surplus Cash, Distributions, and Residual Receipts  (Annual)</w:t>
            </w:r>
          </w:p>
        </w:tc>
      </w:tr>
      <w:tr w:rsidR="001B21BC" w:rsidRPr="001B21BC" w:rsidTr="008217F8">
        <w:trPr>
          <w:jc w:val="center"/>
        </w:trPr>
        <w:tc>
          <w:tcPr>
            <w:tcW w:w="4281" w:type="dxa"/>
          </w:tcPr>
          <w:p w:rsidR="008217F8" w:rsidRPr="001B21BC" w:rsidRDefault="00A35443" w:rsidP="00A0567E">
            <w:pPr>
              <w:rPr>
                <w:b/>
              </w:rPr>
            </w:pPr>
            <w:r w:rsidRPr="001B21BC">
              <w:rPr>
                <w:rFonts w:ascii="Calibri" w:eastAsiaTheme="minorEastAsia" w:hAnsi="Calibri" w:cs="Calibri"/>
              </w:rPr>
              <w:t>Footnotes (S3100 series of accounts)</w:t>
            </w:r>
          </w:p>
        </w:tc>
        <w:tc>
          <w:tcPr>
            <w:tcW w:w="4282" w:type="dxa"/>
          </w:tcPr>
          <w:p w:rsidR="008217F8" w:rsidRPr="001B21BC" w:rsidRDefault="00A35443" w:rsidP="00A0567E">
            <w:pPr>
              <w:rPr>
                <w:b/>
              </w:rPr>
            </w:pPr>
            <w:r w:rsidRPr="001B21BC">
              <w:rPr>
                <w:rFonts w:ascii="Calibri" w:eastAsiaTheme="minorEastAsia" w:hAnsi="Calibri" w:cs="Calibri"/>
              </w:rPr>
              <w:t>Footnotes to the audited Financial Statements</w:t>
            </w:r>
          </w:p>
        </w:tc>
      </w:tr>
      <w:tr w:rsidR="001B21BC" w:rsidRPr="001B21BC" w:rsidTr="008217F8">
        <w:trPr>
          <w:jc w:val="center"/>
        </w:trPr>
        <w:tc>
          <w:tcPr>
            <w:tcW w:w="4281" w:type="dxa"/>
          </w:tcPr>
          <w:p w:rsidR="008217F8" w:rsidRPr="001B21BC" w:rsidRDefault="00A35443" w:rsidP="00A0567E">
            <w:pPr>
              <w:rPr>
                <w:b/>
              </w:rPr>
            </w:pPr>
            <w:r w:rsidRPr="001B21BC">
              <w:rPr>
                <w:rFonts w:ascii="Calibri" w:eastAsiaTheme="minorEastAsia" w:hAnsi="Calibri" w:cs="Calibri"/>
              </w:rPr>
              <w:t>Type of opinion on the Financial Statement and Compliance (account number S2100-020, S2300-020)</w:t>
            </w:r>
          </w:p>
        </w:tc>
        <w:tc>
          <w:tcPr>
            <w:tcW w:w="4282" w:type="dxa"/>
          </w:tcPr>
          <w:p w:rsidR="008217F8" w:rsidRPr="001B21BC" w:rsidRDefault="00A35443" w:rsidP="00A0567E">
            <w:pPr>
              <w:rPr>
                <w:b/>
              </w:rPr>
            </w:pPr>
            <w:r w:rsidRPr="001B21BC">
              <w:rPr>
                <w:rFonts w:ascii="Calibri" w:eastAsiaTheme="minorEastAsia" w:hAnsi="Calibri" w:cs="Calibri"/>
              </w:rPr>
              <w:t>Auditor's Reports on the Financial Statements Compliance, and Internal Control</w:t>
            </w:r>
          </w:p>
        </w:tc>
      </w:tr>
      <w:tr w:rsidR="001B21BC" w:rsidRPr="001B21BC" w:rsidTr="008217F8">
        <w:trPr>
          <w:jc w:val="center"/>
        </w:trPr>
        <w:tc>
          <w:tcPr>
            <w:tcW w:w="4281" w:type="dxa"/>
          </w:tcPr>
          <w:p w:rsidR="008217F8" w:rsidRPr="001B21BC" w:rsidRDefault="00A35443" w:rsidP="00A0567E">
            <w:pPr>
              <w:rPr>
                <w:b/>
              </w:rPr>
            </w:pPr>
            <w:r w:rsidRPr="001B21BC">
              <w:rPr>
                <w:rFonts w:ascii="Calibri" w:eastAsiaTheme="minorEastAsia" w:hAnsi="Calibri" w:cs="Calibri"/>
              </w:rPr>
              <w:t>Type of opinion on Supplemental Data (account number S2100-100)</w:t>
            </w:r>
          </w:p>
        </w:tc>
        <w:tc>
          <w:tcPr>
            <w:tcW w:w="4282" w:type="dxa"/>
          </w:tcPr>
          <w:p w:rsidR="008217F8" w:rsidRPr="001B21BC" w:rsidRDefault="00A35443" w:rsidP="00A0567E">
            <w:pPr>
              <w:rPr>
                <w:b/>
              </w:rPr>
            </w:pPr>
            <w:r w:rsidRPr="001B21BC">
              <w:rPr>
                <w:rFonts w:ascii="Calibri" w:eastAsiaTheme="minorEastAsia" w:hAnsi="Calibri" w:cs="Calibri"/>
              </w:rPr>
              <w:t>Auditor's Report on Supplementary Information</w:t>
            </w:r>
          </w:p>
        </w:tc>
      </w:tr>
      <w:tr w:rsidR="008217F8" w:rsidRPr="001B21BC" w:rsidTr="008217F8">
        <w:trPr>
          <w:jc w:val="center"/>
        </w:trPr>
        <w:tc>
          <w:tcPr>
            <w:tcW w:w="4281" w:type="dxa"/>
          </w:tcPr>
          <w:p w:rsidR="008217F8" w:rsidRPr="001B21BC" w:rsidRDefault="00A35443" w:rsidP="00A0567E">
            <w:pPr>
              <w:rPr>
                <w:b/>
              </w:rPr>
            </w:pPr>
            <w:r w:rsidRPr="001B21BC">
              <w:rPr>
                <w:rFonts w:ascii="Calibri" w:eastAsiaTheme="minorEastAsia" w:hAnsi="Calibri" w:cs="Calibri"/>
              </w:rPr>
              <w:t>Audit findings narrative (S2700 series of accounts)</w:t>
            </w:r>
          </w:p>
        </w:tc>
        <w:tc>
          <w:tcPr>
            <w:tcW w:w="4282" w:type="dxa"/>
          </w:tcPr>
          <w:p w:rsidR="008217F8" w:rsidRPr="001B21BC" w:rsidRDefault="00A35443" w:rsidP="00A0567E">
            <w:pPr>
              <w:rPr>
                <w:b/>
              </w:rPr>
            </w:pPr>
            <w:r w:rsidRPr="001B21BC">
              <w:rPr>
                <w:rFonts w:ascii="Calibri" w:eastAsiaTheme="minorEastAsia" w:hAnsi="Calibri" w:cs="Calibri"/>
              </w:rPr>
              <w:t>Schedule of Findings, Questioned Costs, and Recommendations</w:t>
            </w:r>
          </w:p>
        </w:tc>
      </w:tr>
    </w:tbl>
    <w:p w:rsidR="00986A2A" w:rsidRPr="001B21BC" w:rsidRDefault="00986A2A" w:rsidP="00986A2A">
      <w:pPr>
        <w:spacing w:after="0"/>
        <w:rPr>
          <w:b/>
        </w:rPr>
      </w:pPr>
    </w:p>
    <w:sectPr w:rsidR="00986A2A" w:rsidRPr="001B21BC" w:rsidSect="00284313">
      <w:headerReference w:type="even" r:id="rId6"/>
      <w:headerReference w:type="default" r:id="rId7"/>
      <w:footerReference w:type="even" r:id="rId8"/>
      <w:footerReference w:type="default" r:id="rId9"/>
      <w:headerReference w:type="first" r:id="rId10"/>
      <w:footerReference w:type="firs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72A" w:rsidRDefault="0053172A" w:rsidP="0017043F">
      <w:pPr>
        <w:spacing w:after="0" w:line="240" w:lineRule="auto"/>
      </w:pPr>
      <w:r>
        <w:separator/>
      </w:r>
    </w:p>
  </w:endnote>
  <w:endnote w:type="continuationSeparator" w:id="0">
    <w:p w:rsidR="0053172A" w:rsidRDefault="0053172A" w:rsidP="00170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1BC" w:rsidRDefault="001B21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72A" w:rsidRPr="0017043F" w:rsidRDefault="00DB0C08" w:rsidP="0017043F">
    <w:pPr>
      <w:pStyle w:val="Footer"/>
      <w:tabs>
        <w:tab w:val="clear" w:pos="4680"/>
        <w:tab w:val="clear" w:pos="9360"/>
        <w:tab w:val="center" w:pos="5040"/>
        <w:tab w:val="right" w:pos="10080"/>
      </w:tabs>
      <w:rPr>
        <w:color w:val="5B9BD5" w:themeColor="accent1"/>
      </w:rPr>
    </w:pPr>
    <w:r>
      <w:rPr>
        <w:color w:val="5B9BD5" w:themeColor="accent1"/>
      </w:rPr>
      <w:t>aup-engagement-letter</w:t>
    </w:r>
    <w:r w:rsidR="00FB235F">
      <w:rPr>
        <w:color w:val="5B9BD5" w:themeColor="accent1"/>
      </w:rPr>
      <w:t>-</w:t>
    </w:r>
    <w:r w:rsidR="00FC02A9">
      <w:rPr>
        <w:color w:val="5B9BD5" w:themeColor="accent1"/>
      </w:rPr>
      <w:t>pm</w:t>
    </w:r>
    <w:r w:rsidR="001B21BC">
      <w:rPr>
        <w:color w:val="5B9BD5" w:themeColor="accent1"/>
      </w:rPr>
      <w:t>.docx</w:t>
    </w:r>
    <w:bookmarkStart w:id="2" w:name="_GoBack"/>
    <w:bookmarkEnd w:id="2"/>
    <w:r w:rsidR="0053172A">
      <w:rPr>
        <w:color w:val="5B9BD5" w:themeColor="accent1"/>
      </w:rPr>
      <w:tab/>
    </w:r>
    <w:r w:rsidR="0053172A" w:rsidRPr="00C7258D">
      <w:rPr>
        <w:color w:val="5B9BD5" w:themeColor="accent1"/>
      </w:rPr>
      <w:fldChar w:fldCharType="begin"/>
    </w:r>
    <w:r w:rsidR="0053172A" w:rsidRPr="00C7258D">
      <w:rPr>
        <w:color w:val="5B9BD5" w:themeColor="accent1"/>
      </w:rPr>
      <w:instrText xml:space="preserve"> PAGE   \* MERGEFORMAT </w:instrText>
    </w:r>
    <w:r w:rsidR="0053172A" w:rsidRPr="00C7258D">
      <w:rPr>
        <w:color w:val="5B9BD5" w:themeColor="accent1"/>
      </w:rPr>
      <w:fldChar w:fldCharType="separate"/>
    </w:r>
    <w:r w:rsidR="001B21BC">
      <w:rPr>
        <w:noProof/>
        <w:color w:val="5B9BD5" w:themeColor="accent1"/>
      </w:rPr>
      <w:t>1</w:t>
    </w:r>
    <w:r w:rsidR="0053172A" w:rsidRPr="00C7258D">
      <w:rPr>
        <w:noProof/>
        <w:color w:val="5B9BD5" w:themeColor="accent1"/>
      </w:rPr>
      <w:fldChar w:fldCharType="end"/>
    </w:r>
    <w:r w:rsidR="0053172A">
      <w:rPr>
        <w:noProof/>
        <w:color w:val="5B9BD5" w:themeColor="accent1"/>
      </w:rPr>
      <w:tab/>
      <w:t>Updated Feb. 2016</w:t>
    </w:r>
  </w:p>
  <w:p w:rsidR="0053172A" w:rsidRDefault="005317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1BC" w:rsidRDefault="001B21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72A" w:rsidRDefault="0053172A" w:rsidP="0017043F">
      <w:pPr>
        <w:spacing w:after="0" w:line="240" w:lineRule="auto"/>
      </w:pPr>
      <w:r>
        <w:separator/>
      </w:r>
    </w:p>
  </w:footnote>
  <w:footnote w:type="continuationSeparator" w:id="0">
    <w:p w:rsidR="0053172A" w:rsidRDefault="0053172A" w:rsidP="001704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1BC" w:rsidRDefault="001B21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1BC" w:rsidRDefault="001B21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1BC" w:rsidRDefault="001B21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B38"/>
    <w:rsid w:val="000122CA"/>
    <w:rsid w:val="00060FDB"/>
    <w:rsid w:val="00063D75"/>
    <w:rsid w:val="00090307"/>
    <w:rsid w:val="000C0DD0"/>
    <w:rsid w:val="000C4696"/>
    <w:rsid w:val="000E6C25"/>
    <w:rsid w:val="00131F74"/>
    <w:rsid w:val="00152015"/>
    <w:rsid w:val="001547D5"/>
    <w:rsid w:val="0017043F"/>
    <w:rsid w:val="001A4B0C"/>
    <w:rsid w:val="001B21BC"/>
    <w:rsid w:val="00232A2F"/>
    <w:rsid w:val="002528ED"/>
    <w:rsid w:val="00284313"/>
    <w:rsid w:val="002C275D"/>
    <w:rsid w:val="002F3D44"/>
    <w:rsid w:val="00302BB7"/>
    <w:rsid w:val="00326697"/>
    <w:rsid w:val="003D1A0D"/>
    <w:rsid w:val="00443B22"/>
    <w:rsid w:val="00477DF4"/>
    <w:rsid w:val="0049159B"/>
    <w:rsid w:val="004A11FA"/>
    <w:rsid w:val="004D3DD8"/>
    <w:rsid w:val="00504DA7"/>
    <w:rsid w:val="00524B18"/>
    <w:rsid w:val="00531296"/>
    <w:rsid w:val="0053172A"/>
    <w:rsid w:val="00535C1D"/>
    <w:rsid w:val="00543934"/>
    <w:rsid w:val="0055601E"/>
    <w:rsid w:val="00571147"/>
    <w:rsid w:val="00573941"/>
    <w:rsid w:val="005C46A7"/>
    <w:rsid w:val="00633BD3"/>
    <w:rsid w:val="00662F1C"/>
    <w:rsid w:val="006B3B5D"/>
    <w:rsid w:val="006D5E98"/>
    <w:rsid w:val="007866E7"/>
    <w:rsid w:val="00787F38"/>
    <w:rsid w:val="007966C1"/>
    <w:rsid w:val="007A7A31"/>
    <w:rsid w:val="007B2629"/>
    <w:rsid w:val="007C4533"/>
    <w:rsid w:val="007D656D"/>
    <w:rsid w:val="007F41A0"/>
    <w:rsid w:val="00806FA1"/>
    <w:rsid w:val="008217F8"/>
    <w:rsid w:val="008309DA"/>
    <w:rsid w:val="00857C9F"/>
    <w:rsid w:val="008B39EF"/>
    <w:rsid w:val="0092139E"/>
    <w:rsid w:val="009311CC"/>
    <w:rsid w:val="00986A2A"/>
    <w:rsid w:val="009E7FED"/>
    <w:rsid w:val="009F3637"/>
    <w:rsid w:val="00A12D2A"/>
    <w:rsid w:val="00A349C1"/>
    <w:rsid w:val="00A35443"/>
    <w:rsid w:val="00A502C4"/>
    <w:rsid w:val="00AC3F0F"/>
    <w:rsid w:val="00B165B0"/>
    <w:rsid w:val="00B7077D"/>
    <w:rsid w:val="00B71737"/>
    <w:rsid w:val="00B76ADF"/>
    <w:rsid w:val="00C165F9"/>
    <w:rsid w:val="00C502B6"/>
    <w:rsid w:val="00CB4AE2"/>
    <w:rsid w:val="00CF110F"/>
    <w:rsid w:val="00D27F53"/>
    <w:rsid w:val="00D5374F"/>
    <w:rsid w:val="00D66943"/>
    <w:rsid w:val="00D6751A"/>
    <w:rsid w:val="00D72608"/>
    <w:rsid w:val="00D75B38"/>
    <w:rsid w:val="00D90761"/>
    <w:rsid w:val="00DB0C08"/>
    <w:rsid w:val="00E21BDE"/>
    <w:rsid w:val="00E511D0"/>
    <w:rsid w:val="00E5774A"/>
    <w:rsid w:val="00ED3F67"/>
    <w:rsid w:val="00F0172D"/>
    <w:rsid w:val="00F1661F"/>
    <w:rsid w:val="00F77FD7"/>
    <w:rsid w:val="00FB235F"/>
    <w:rsid w:val="00FC0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407B923-0640-4985-841D-902607BC4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table" w:styleId="TableGrid">
    <w:name w:val="Table Grid"/>
    <w:basedOn w:val="TableNormal"/>
    <w:uiPriority w:val="39"/>
    <w:rsid w:val="00931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PlaceholderText">
    <w:name w:val="Placeholder Text"/>
    <w:basedOn w:val="DefaultParagraphFont"/>
    <w:uiPriority w:val="99"/>
    <w:semiHidden/>
    <w:rsid w:val="000E6C25"/>
    <w:rPr>
      <w:color w:val="808080"/>
    </w:rPr>
  </w:style>
  <w:style w:type="paragraph" w:styleId="BalloonText">
    <w:name w:val="Balloon Text"/>
    <w:basedOn w:val="Normal"/>
    <w:link w:val="BalloonTextChar"/>
    <w:uiPriority w:val="99"/>
    <w:semiHidden/>
    <w:unhideWhenUsed/>
    <w:rsid w:val="007D65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56D"/>
    <w:rPr>
      <w:rFonts w:ascii="Segoe UI" w:hAnsi="Segoe UI" w:cs="Segoe UI"/>
      <w:sz w:val="18"/>
      <w:szCs w:val="18"/>
    </w:rPr>
  </w:style>
  <w:style w:type="paragraph" w:styleId="Header">
    <w:name w:val="header"/>
    <w:basedOn w:val="Normal"/>
    <w:link w:val="HeaderChar"/>
    <w:uiPriority w:val="99"/>
    <w:unhideWhenUsed/>
    <w:rsid w:val="00170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43F"/>
  </w:style>
  <w:style w:type="paragraph" w:styleId="Footer">
    <w:name w:val="footer"/>
    <w:basedOn w:val="Normal"/>
    <w:link w:val="FooterChar"/>
    <w:uiPriority w:val="99"/>
    <w:unhideWhenUsed/>
    <w:rsid w:val="00170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558912">
      <w:bodyDiv w:val="1"/>
      <w:marLeft w:val="0"/>
      <w:marRight w:val="0"/>
      <w:marTop w:val="0"/>
      <w:marBottom w:val="0"/>
      <w:divBdr>
        <w:top w:val="none" w:sz="0" w:space="0" w:color="auto"/>
        <w:left w:val="none" w:sz="0" w:space="0" w:color="auto"/>
        <w:bottom w:val="none" w:sz="0" w:space="0" w:color="auto"/>
        <w:right w:val="none" w:sz="0" w:space="0" w:color="auto"/>
      </w:divBdr>
    </w:div>
    <w:div w:id="483401488">
      <w:bodyDiv w:val="1"/>
      <w:marLeft w:val="0"/>
      <w:marRight w:val="0"/>
      <w:marTop w:val="0"/>
      <w:marBottom w:val="0"/>
      <w:divBdr>
        <w:top w:val="none" w:sz="0" w:space="0" w:color="auto"/>
        <w:left w:val="none" w:sz="0" w:space="0" w:color="auto"/>
        <w:bottom w:val="none" w:sz="0" w:space="0" w:color="auto"/>
        <w:right w:val="none" w:sz="0" w:space="0" w:color="auto"/>
      </w:divBdr>
    </w:div>
    <w:div w:id="483552525">
      <w:bodyDiv w:val="1"/>
      <w:marLeft w:val="0"/>
      <w:marRight w:val="0"/>
      <w:marTop w:val="0"/>
      <w:marBottom w:val="0"/>
      <w:divBdr>
        <w:top w:val="none" w:sz="0" w:space="0" w:color="auto"/>
        <w:left w:val="none" w:sz="0" w:space="0" w:color="auto"/>
        <w:bottom w:val="none" w:sz="0" w:space="0" w:color="auto"/>
        <w:right w:val="none" w:sz="0" w:space="0" w:color="auto"/>
      </w:divBdr>
    </w:div>
    <w:div w:id="807018053">
      <w:bodyDiv w:val="1"/>
      <w:marLeft w:val="0"/>
      <w:marRight w:val="0"/>
      <w:marTop w:val="0"/>
      <w:marBottom w:val="0"/>
      <w:divBdr>
        <w:top w:val="none" w:sz="0" w:space="0" w:color="auto"/>
        <w:left w:val="none" w:sz="0" w:space="0" w:color="auto"/>
        <w:bottom w:val="none" w:sz="0" w:space="0" w:color="auto"/>
        <w:right w:val="none" w:sz="0" w:space="0" w:color="auto"/>
      </w:divBdr>
    </w:div>
    <w:div w:id="940840693">
      <w:bodyDiv w:val="1"/>
      <w:marLeft w:val="0"/>
      <w:marRight w:val="0"/>
      <w:marTop w:val="0"/>
      <w:marBottom w:val="0"/>
      <w:divBdr>
        <w:top w:val="none" w:sz="0" w:space="0" w:color="auto"/>
        <w:left w:val="none" w:sz="0" w:space="0" w:color="auto"/>
        <w:bottom w:val="none" w:sz="0" w:space="0" w:color="auto"/>
        <w:right w:val="none" w:sz="0" w:space="0" w:color="auto"/>
      </w:divBdr>
    </w:div>
    <w:div w:id="984816899">
      <w:bodyDiv w:val="1"/>
      <w:marLeft w:val="0"/>
      <w:marRight w:val="0"/>
      <w:marTop w:val="0"/>
      <w:marBottom w:val="0"/>
      <w:divBdr>
        <w:top w:val="none" w:sz="0" w:space="0" w:color="auto"/>
        <w:left w:val="none" w:sz="0" w:space="0" w:color="auto"/>
        <w:bottom w:val="none" w:sz="0" w:space="0" w:color="auto"/>
        <w:right w:val="none" w:sz="0" w:space="0" w:color="auto"/>
      </w:divBdr>
    </w:div>
    <w:div w:id="1007056069">
      <w:bodyDiv w:val="1"/>
      <w:marLeft w:val="0"/>
      <w:marRight w:val="0"/>
      <w:marTop w:val="0"/>
      <w:marBottom w:val="0"/>
      <w:divBdr>
        <w:top w:val="none" w:sz="0" w:space="0" w:color="auto"/>
        <w:left w:val="none" w:sz="0" w:space="0" w:color="auto"/>
        <w:bottom w:val="none" w:sz="0" w:space="0" w:color="auto"/>
        <w:right w:val="none" w:sz="0" w:space="0" w:color="auto"/>
      </w:divBdr>
    </w:div>
    <w:div w:id="1240409457">
      <w:bodyDiv w:val="1"/>
      <w:marLeft w:val="0"/>
      <w:marRight w:val="0"/>
      <w:marTop w:val="0"/>
      <w:marBottom w:val="0"/>
      <w:divBdr>
        <w:top w:val="none" w:sz="0" w:space="0" w:color="auto"/>
        <w:left w:val="none" w:sz="0" w:space="0" w:color="auto"/>
        <w:bottom w:val="none" w:sz="0" w:space="0" w:color="auto"/>
        <w:right w:val="none" w:sz="0" w:space="0" w:color="auto"/>
      </w:divBdr>
    </w:div>
    <w:div w:id="1258364057">
      <w:bodyDiv w:val="1"/>
      <w:marLeft w:val="0"/>
      <w:marRight w:val="0"/>
      <w:marTop w:val="0"/>
      <w:marBottom w:val="0"/>
      <w:divBdr>
        <w:top w:val="none" w:sz="0" w:space="0" w:color="auto"/>
        <w:left w:val="none" w:sz="0" w:space="0" w:color="auto"/>
        <w:bottom w:val="none" w:sz="0" w:space="0" w:color="auto"/>
        <w:right w:val="none" w:sz="0" w:space="0" w:color="auto"/>
      </w:divBdr>
    </w:div>
    <w:div w:id="1336148508">
      <w:bodyDiv w:val="1"/>
      <w:marLeft w:val="0"/>
      <w:marRight w:val="0"/>
      <w:marTop w:val="0"/>
      <w:marBottom w:val="0"/>
      <w:divBdr>
        <w:top w:val="none" w:sz="0" w:space="0" w:color="auto"/>
        <w:left w:val="none" w:sz="0" w:space="0" w:color="auto"/>
        <w:bottom w:val="none" w:sz="0" w:space="0" w:color="auto"/>
        <w:right w:val="none" w:sz="0" w:space="0" w:color="auto"/>
      </w:divBdr>
    </w:div>
    <w:div w:id="1517696556">
      <w:bodyDiv w:val="1"/>
      <w:marLeft w:val="0"/>
      <w:marRight w:val="0"/>
      <w:marTop w:val="0"/>
      <w:marBottom w:val="0"/>
      <w:divBdr>
        <w:top w:val="none" w:sz="0" w:space="0" w:color="auto"/>
        <w:left w:val="none" w:sz="0" w:space="0" w:color="auto"/>
        <w:bottom w:val="none" w:sz="0" w:space="0" w:color="auto"/>
        <w:right w:val="none" w:sz="0" w:space="0" w:color="auto"/>
      </w:divBdr>
    </w:div>
    <w:div w:id="1625430451">
      <w:bodyDiv w:val="1"/>
      <w:marLeft w:val="0"/>
      <w:marRight w:val="0"/>
      <w:marTop w:val="0"/>
      <w:marBottom w:val="0"/>
      <w:divBdr>
        <w:top w:val="none" w:sz="0" w:space="0" w:color="auto"/>
        <w:left w:val="none" w:sz="0" w:space="0" w:color="auto"/>
        <w:bottom w:val="none" w:sz="0" w:space="0" w:color="auto"/>
        <w:right w:val="none" w:sz="0" w:space="0" w:color="auto"/>
      </w:divBdr>
    </w:div>
    <w:div w:id="1650551955">
      <w:bodyDiv w:val="1"/>
      <w:marLeft w:val="0"/>
      <w:marRight w:val="0"/>
      <w:marTop w:val="0"/>
      <w:marBottom w:val="0"/>
      <w:divBdr>
        <w:top w:val="none" w:sz="0" w:space="0" w:color="auto"/>
        <w:left w:val="none" w:sz="0" w:space="0" w:color="auto"/>
        <w:bottom w:val="none" w:sz="0" w:space="0" w:color="auto"/>
        <w:right w:val="none" w:sz="0" w:space="0" w:color="auto"/>
      </w:divBdr>
    </w:div>
    <w:div w:id="1857498715">
      <w:bodyDiv w:val="1"/>
      <w:marLeft w:val="0"/>
      <w:marRight w:val="0"/>
      <w:marTop w:val="0"/>
      <w:marBottom w:val="0"/>
      <w:divBdr>
        <w:top w:val="none" w:sz="0" w:space="0" w:color="auto"/>
        <w:left w:val="none" w:sz="0" w:space="0" w:color="auto"/>
        <w:bottom w:val="none" w:sz="0" w:space="0" w:color="auto"/>
        <w:right w:val="none" w:sz="0" w:space="0" w:color="auto"/>
      </w:divBdr>
    </w:div>
    <w:div w:id="1967396211">
      <w:bodyDiv w:val="1"/>
      <w:marLeft w:val="0"/>
      <w:marRight w:val="0"/>
      <w:marTop w:val="0"/>
      <w:marBottom w:val="0"/>
      <w:divBdr>
        <w:top w:val="none" w:sz="0" w:space="0" w:color="auto"/>
        <w:left w:val="none" w:sz="0" w:space="0" w:color="auto"/>
        <w:bottom w:val="none" w:sz="0" w:space="0" w:color="auto"/>
        <w:right w:val="none" w:sz="0" w:space="0" w:color="auto"/>
      </w:divBdr>
    </w:div>
    <w:div w:id="196804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1286</Words>
  <Characters>7178</Characters>
  <Application>Microsoft Office Word</Application>
  <DocSecurity>0</DocSecurity>
  <Lines>140</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Christensen</dc:creator>
  <cp:keywords/>
  <dc:description/>
  <cp:lastModifiedBy>Kathy Christensen</cp:lastModifiedBy>
  <cp:revision>3</cp:revision>
  <cp:lastPrinted>2015-02-02T21:29:00Z</cp:lastPrinted>
  <dcterms:created xsi:type="dcterms:W3CDTF">2016-02-24T22:58:00Z</dcterms:created>
  <dcterms:modified xsi:type="dcterms:W3CDTF">2016-02-24T22:59:00Z</dcterms:modified>
</cp:coreProperties>
</file>